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A5D" w:rsidRPr="00A64123" w:rsidRDefault="003C6F27" w:rsidP="00E517BB">
      <w:pPr>
        <w:tabs>
          <w:tab w:val="left" w:pos="5730"/>
        </w:tabs>
        <w:spacing w:before="120" w:after="120" w:line="360" w:lineRule="auto"/>
        <w:rPr>
          <w:rFonts w:ascii="Arial" w:hAnsi="Arial" w:cs="Arial"/>
          <w:b/>
          <w:sz w:val="24"/>
          <w:szCs w:val="24"/>
          <w:u w:val="single"/>
        </w:rPr>
      </w:pPr>
      <w:r w:rsidRPr="00A64123">
        <w:rPr>
          <w:rFonts w:ascii="Arial" w:hAnsi="Arial" w:cs="Arial"/>
          <w:b/>
          <w:sz w:val="24"/>
          <w:szCs w:val="24"/>
          <w:u w:val="single"/>
        </w:rPr>
        <w:t xml:space="preserve">PARECER JURÍDICO Nº </w:t>
      </w:r>
      <w:r w:rsidR="003B3484" w:rsidRPr="00A64123">
        <w:rPr>
          <w:rFonts w:ascii="Arial" w:hAnsi="Arial" w:cs="Arial"/>
          <w:b/>
          <w:sz w:val="24"/>
          <w:szCs w:val="24"/>
          <w:u w:val="single"/>
        </w:rPr>
        <w:t>009</w:t>
      </w:r>
      <w:r w:rsidR="00352A5D" w:rsidRPr="00A64123">
        <w:rPr>
          <w:rFonts w:ascii="Arial" w:hAnsi="Arial" w:cs="Arial"/>
          <w:b/>
          <w:sz w:val="24"/>
          <w:szCs w:val="24"/>
          <w:u w:val="single"/>
        </w:rPr>
        <w:t>/202</w:t>
      </w:r>
      <w:r w:rsidR="00F3310A" w:rsidRPr="00A64123">
        <w:rPr>
          <w:rFonts w:ascii="Arial" w:hAnsi="Arial" w:cs="Arial"/>
          <w:b/>
          <w:sz w:val="24"/>
          <w:szCs w:val="24"/>
          <w:u w:val="single"/>
        </w:rPr>
        <w:t>2</w:t>
      </w:r>
      <w:r w:rsidR="00352A5D" w:rsidRPr="00A64123">
        <w:rPr>
          <w:rFonts w:ascii="Arial" w:hAnsi="Arial" w:cs="Arial"/>
          <w:b/>
          <w:sz w:val="24"/>
          <w:szCs w:val="24"/>
          <w:u w:val="single"/>
        </w:rPr>
        <w:t>/PGM</w:t>
      </w:r>
    </w:p>
    <w:p w:rsidR="00352A5D" w:rsidRPr="00A64123" w:rsidRDefault="00352A5D" w:rsidP="00E517BB">
      <w:pPr>
        <w:autoSpaceDE w:val="0"/>
        <w:autoSpaceDN w:val="0"/>
        <w:adjustRightInd w:val="0"/>
        <w:spacing w:before="120" w:after="120" w:line="360" w:lineRule="auto"/>
        <w:jc w:val="both"/>
        <w:rPr>
          <w:rFonts w:ascii="Arial" w:hAnsi="Arial" w:cs="Arial"/>
          <w:b/>
          <w:sz w:val="24"/>
          <w:szCs w:val="24"/>
        </w:rPr>
      </w:pPr>
      <w:r w:rsidRPr="00A64123">
        <w:rPr>
          <w:rFonts w:ascii="Arial" w:hAnsi="Arial" w:cs="Arial"/>
          <w:b/>
          <w:sz w:val="24"/>
          <w:szCs w:val="24"/>
        </w:rPr>
        <w:t xml:space="preserve">CONSULENTE: </w:t>
      </w:r>
      <w:r w:rsidR="003B3484" w:rsidRPr="00A64123">
        <w:rPr>
          <w:rFonts w:ascii="Arial" w:hAnsi="Arial" w:cs="Arial"/>
          <w:b/>
          <w:sz w:val="24"/>
          <w:szCs w:val="24"/>
        </w:rPr>
        <w:t>Departamento de Licitações.</w:t>
      </w:r>
    </w:p>
    <w:p w:rsidR="003B3484" w:rsidRPr="00A64123" w:rsidRDefault="003B3484" w:rsidP="003B3484">
      <w:pPr>
        <w:autoSpaceDE w:val="0"/>
        <w:autoSpaceDN w:val="0"/>
        <w:adjustRightInd w:val="0"/>
        <w:spacing w:before="120" w:after="120" w:line="360" w:lineRule="auto"/>
        <w:jc w:val="both"/>
        <w:rPr>
          <w:rFonts w:ascii="Arial" w:hAnsi="Arial" w:cs="Arial"/>
          <w:b/>
          <w:sz w:val="24"/>
          <w:szCs w:val="24"/>
        </w:rPr>
      </w:pPr>
      <w:r w:rsidRPr="00A64123">
        <w:rPr>
          <w:rFonts w:ascii="Arial" w:hAnsi="Arial" w:cs="Arial"/>
          <w:b/>
          <w:sz w:val="24"/>
          <w:szCs w:val="24"/>
        </w:rPr>
        <w:t xml:space="preserve">OBJETO: “Registro de Preços para futura e eventual contratação de empresa especializada em fornecimento de passagens aéreas e terrestres em todo o território nacional para atender a demanda das secretarias municipais de Itaúba-MT”. </w:t>
      </w:r>
    </w:p>
    <w:p w:rsidR="00447505" w:rsidRPr="00A64123" w:rsidRDefault="00447505" w:rsidP="00447505">
      <w:pPr>
        <w:pStyle w:val="Default"/>
        <w:ind w:left="2268"/>
        <w:jc w:val="both"/>
        <w:rPr>
          <w:b/>
          <w:color w:val="auto"/>
        </w:rPr>
      </w:pPr>
    </w:p>
    <w:p w:rsidR="003B3484" w:rsidRPr="00A64123" w:rsidRDefault="003B3484" w:rsidP="003B3484">
      <w:pPr>
        <w:pStyle w:val="Default"/>
        <w:ind w:left="2268"/>
        <w:jc w:val="both"/>
        <w:rPr>
          <w:caps/>
          <w:color w:val="auto"/>
        </w:rPr>
      </w:pPr>
      <w:r w:rsidRPr="00A64123">
        <w:rPr>
          <w:b/>
          <w:caps/>
          <w:color w:val="auto"/>
        </w:rPr>
        <w:t>EMENTA:</w:t>
      </w:r>
      <w:r w:rsidRPr="00A64123">
        <w:rPr>
          <w:caps/>
          <w:color w:val="auto"/>
        </w:rPr>
        <w:t xml:space="preserve"> DIREITO ADMINISTRATIVO. LICITAÇÕES E CONTRATOS PÚBLICOS. PREGÃO ELETRÔNICO. BENS E SERVIÇOS COMUNS DE MERCADO. REGISTRO DE PREÇOS. LEI </w:t>
      </w:r>
      <w:r w:rsidR="00775781" w:rsidRPr="00A64123">
        <w:rPr>
          <w:caps/>
          <w:color w:val="auto"/>
        </w:rPr>
        <w:t xml:space="preserve">N° </w:t>
      </w:r>
      <w:r w:rsidRPr="00A64123">
        <w:rPr>
          <w:caps/>
          <w:color w:val="auto"/>
        </w:rPr>
        <w:t>8.666/93</w:t>
      </w:r>
      <w:r w:rsidR="00775781" w:rsidRPr="00A64123">
        <w:rPr>
          <w:caps/>
          <w:color w:val="auto"/>
        </w:rPr>
        <w:t xml:space="preserve"> E 10.520/02</w:t>
      </w:r>
      <w:r w:rsidRPr="00A64123">
        <w:rPr>
          <w:caps/>
          <w:color w:val="auto"/>
        </w:rPr>
        <w:t xml:space="preserve">. </w:t>
      </w:r>
      <w:r w:rsidR="00775781" w:rsidRPr="00A64123">
        <w:rPr>
          <w:caps/>
          <w:color w:val="auto"/>
        </w:rPr>
        <w:t>DECRETO FEDERAL N° 7.892/2013</w:t>
      </w:r>
      <w:r w:rsidR="007D394A" w:rsidRPr="00A64123">
        <w:rPr>
          <w:caps/>
          <w:color w:val="auto"/>
        </w:rPr>
        <w:t xml:space="preserve"> e 10.024/2019</w:t>
      </w:r>
      <w:r w:rsidR="00775781" w:rsidRPr="00A64123">
        <w:rPr>
          <w:caps/>
          <w:color w:val="auto"/>
        </w:rPr>
        <w:t xml:space="preserve">. </w:t>
      </w:r>
      <w:r w:rsidRPr="00A64123">
        <w:rPr>
          <w:caps/>
          <w:color w:val="auto"/>
        </w:rPr>
        <w:t>POSSIBILIDADE. RECOMENDAÇÕES NECESSÁRIAS.</w:t>
      </w:r>
    </w:p>
    <w:p w:rsidR="003B3484" w:rsidRPr="00A64123" w:rsidRDefault="003B3484" w:rsidP="00447505">
      <w:pPr>
        <w:pStyle w:val="Default"/>
        <w:ind w:left="2268"/>
        <w:jc w:val="both"/>
        <w:rPr>
          <w:caps/>
          <w:color w:val="auto"/>
        </w:rPr>
      </w:pPr>
    </w:p>
    <w:p w:rsidR="00AD13B3" w:rsidRPr="00A64123" w:rsidRDefault="00AD13B3" w:rsidP="00E517BB">
      <w:pPr>
        <w:pStyle w:val="Default"/>
        <w:spacing w:before="120" w:after="120" w:line="360" w:lineRule="auto"/>
        <w:ind w:left="2268"/>
        <w:jc w:val="both"/>
        <w:rPr>
          <w:caps/>
          <w:color w:val="auto"/>
        </w:rPr>
      </w:pPr>
    </w:p>
    <w:p w:rsidR="00352A5D" w:rsidRPr="00A64123" w:rsidRDefault="00352A5D" w:rsidP="00E517BB">
      <w:pPr>
        <w:pStyle w:val="Default"/>
        <w:numPr>
          <w:ilvl w:val="0"/>
          <w:numId w:val="1"/>
        </w:numPr>
        <w:spacing w:before="120" w:after="120" w:line="360" w:lineRule="auto"/>
        <w:ind w:left="851" w:hanging="851"/>
        <w:jc w:val="both"/>
        <w:rPr>
          <w:b/>
          <w:color w:val="auto"/>
        </w:rPr>
      </w:pPr>
      <w:r w:rsidRPr="00A64123">
        <w:rPr>
          <w:b/>
          <w:caps/>
          <w:color w:val="auto"/>
        </w:rPr>
        <w:t>RELATÓRIO</w:t>
      </w:r>
    </w:p>
    <w:p w:rsidR="00B8272A" w:rsidRPr="00A64123" w:rsidRDefault="00B8272A" w:rsidP="00B8272A">
      <w:pPr>
        <w:spacing w:line="360" w:lineRule="auto"/>
        <w:ind w:firstLine="1134"/>
        <w:jc w:val="both"/>
        <w:rPr>
          <w:rFonts w:ascii="Arial" w:hAnsi="Arial" w:cs="Arial"/>
          <w:b/>
          <w:sz w:val="24"/>
          <w:szCs w:val="24"/>
        </w:rPr>
      </w:pPr>
      <w:r w:rsidRPr="00A64123">
        <w:rPr>
          <w:rFonts w:ascii="Arial" w:hAnsi="Arial"/>
          <w:sz w:val="24"/>
          <w:szCs w:val="24"/>
        </w:rPr>
        <w:t xml:space="preserve">Trata-se de procedimento licitatório, na modalidade de pregão eletrônico, </w:t>
      </w:r>
      <w:r w:rsidRPr="00A64123">
        <w:rPr>
          <w:rFonts w:ascii="Arial" w:eastAsia="Arial-BoldMT" w:hAnsi="Arial"/>
          <w:iCs/>
          <w:color w:val="000000"/>
          <w:spacing w:val="-1"/>
          <w:sz w:val="24"/>
          <w:szCs w:val="24"/>
        </w:rPr>
        <w:t xml:space="preserve">para o </w:t>
      </w:r>
      <w:r w:rsidRPr="00A64123">
        <w:rPr>
          <w:rFonts w:ascii="Arial" w:eastAsia="Calibri" w:hAnsi="Arial" w:cs="Calibri"/>
          <w:iCs/>
          <w:spacing w:val="-1"/>
          <w:w w:val="106"/>
          <w:kern w:val="2"/>
          <w:sz w:val="24"/>
          <w:szCs w:val="24"/>
          <w:lang w:eastAsia="zh-CN"/>
        </w:rPr>
        <w:t xml:space="preserve">Registro de Preços para </w:t>
      </w:r>
      <w:r w:rsidRPr="00A64123">
        <w:rPr>
          <w:rFonts w:ascii="Arial" w:hAnsi="Arial" w:cs="Arial"/>
          <w:sz w:val="24"/>
          <w:szCs w:val="24"/>
        </w:rPr>
        <w:t xml:space="preserve">futura e eventual contratação de empresa especializada em fornecimento de passagens aéreas e terrestres em todo o território nacional, para atender a demanda das secretarias municipais de Itaúba-MT”. </w:t>
      </w:r>
    </w:p>
    <w:p w:rsidR="00B8272A" w:rsidRPr="00A64123" w:rsidRDefault="00B8272A" w:rsidP="00B8272A">
      <w:pPr>
        <w:spacing w:line="360" w:lineRule="auto"/>
        <w:ind w:firstLine="1134"/>
        <w:jc w:val="both"/>
        <w:rPr>
          <w:rFonts w:ascii="Arial" w:eastAsia="Calibri" w:hAnsi="Arial" w:cs="Calibri"/>
          <w:iCs/>
          <w:spacing w:val="-1"/>
          <w:w w:val="106"/>
          <w:kern w:val="2"/>
          <w:sz w:val="24"/>
          <w:szCs w:val="24"/>
          <w:lang w:eastAsia="zh-CN"/>
        </w:rPr>
      </w:pPr>
    </w:p>
    <w:p w:rsidR="00B8272A" w:rsidRPr="00A64123" w:rsidRDefault="00B8272A" w:rsidP="00B8272A">
      <w:pPr>
        <w:spacing w:line="360" w:lineRule="auto"/>
        <w:ind w:firstLine="1134"/>
        <w:jc w:val="both"/>
        <w:rPr>
          <w:sz w:val="24"/>
          <w:szCs w:val="24"/>
        </w:rPr>
      </w:pPr>
      <w:r w:rsidRPr="00A64123">
        <w:rPr>
          <w:rFonts w:ascii="Arial" w:hAnsi="Arial" w:cs="Garamond"/>
          <w:sz w:val="24"/>
          <w:szCs w:val="24"/>
        </w:rPr>
        <w:t>Os autos foram regularmente formalizados e encontram-se instruídos com os seguintes documentos, no que importa à presente análise:</w:t>
      </w:r>
    </w:p>
    <w:p w:rsidR="00B8272A" w:rsidRPr="00A64123" w:rsidRDefault="00B8272A" w:rsidP="00B8272A">
      <w:pPr>
        <w:pStyle w:val="Corpodetexto"/>
        <w:spacing w:after="0" w:line="360" w:lineRule="auto"/>
        <w:ind w:firstLine="1134"/>
        <w:jc w:val="both"/>
        <w:rPr>
          <w:rFonts w:ascii="Garamond" w:hAnsi="Garamond"/>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sz w:val="24"/>
          <w:szCs w:val="24"/>
        </w:rPr>
        <w:t>a) Portaria de Designação do Pregoeiro e respectiva equipe de apoio, com a respectiva publicação oficial;</w:t>
      </w:r>
    </w:p>
    <w:p w:rsidR="00B8272A" w:rsidRPr="00A64123" w:rsidRDefault="00B8272A" w:rsidP="00B8272A">
      <w:pPr>
        <w:pStyle w:val="Corpodetexto"/>
        <w:spacing w:after="0" w:line="360" w:lineRule="auto"/>
        <w:ind w:firstLine="1134"/>
        <w:jc w:val="both"/>
        <w:rPr>
          <w:rFonts w:ascii="Arial" w:hAnsi="Arial"/>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sz w:val="24"/>
          <w:szCs w:val="24"/>
        </w:rPr>
        <w:t>b) Solicitações para a licitação;</w:t>
      </w:r>
    </w:p>
    <w:p w:rsidR="00B8272A" w:rsidRPr="00A64123" w:rsidRDefault="00B8272A" w:rsidP="00B8272A">
      <w:pPr>
        <w:pStyle w:val="Corpodetexto"/>
        <w:spacing w:after="0" w:line="360" w:lineRule="auto"/>
        <w:ind w:firstLine="1134"/>
        <w:jc w:val="both"/>
        <w:rPr>
          <w:rFonts w:ascii="Arial" w:hAnsi="Arial"/>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sz w:val="24"/>
          <w:szCs w:val="24"/>
        </w:rPr>
        <w:t>c) Termo de Referência;</w:t>
      </w:r>
    </w:p>
    <w:p w:rsidR="00B8272A" w:rsidRDefault="00B8272A" w:rsidP="00B8272A">
      <w:pPr>
        <w:pStyle w:val="Corpodetexto"/>
        <w:spacing w:after="0" w:line="360" w:lineRule="auto"/>
        <w:ind w:firstLine="1134"/>
        <w:jc w:val="both"/>
        <w:rPr>
          <w:rFonts w:ascii="Arial" w:hAnsi="Arial"/>
          <w:sz w:val="24"/>
          <w:szCs w:val="24"/>
        </w:rPr>
      </w:pPr>
    </w:p>
    <w:p w:rsidR="00E8364C" w:rsidRPr="00A64123" w:rsidRDefault="00E8364C" w:rsidP="00B8272A">
      <w:pPr>
        <w:pStyle w:val="Corpodetexto"/>
        <w:spacing w:after="0" w:line="360" w:lineRule="auto"/>
        <w:ind w:firstLine="1134"/>
        <w:jc w:val="both"/>
        <w:rPr>
          <w:rFonts w:ascii="Arial" w:hAnsi="Arial"/>
          <w:sz w:val="24"/>
          <w:szCs w:val="24"/>
        </w:rPr>
      </w:pPr>
    </w:p>
    <w:p w:rsidR="00B8272A" w:rsidRPr="00A64123" w:rsidRDefault="00B8272A" w:rsidP="00B8272A">
      <w:pPr>
        <w:pStyle w:val="Corpodetexto"/>
        <w:spacing w:after="0" w:line="360" w:lineRule="auto"/>
        <w:ind w:firstLine="1134"/>
        <w:jc w:val="both"/>
        <w:rPr>
          <w:sz w:val="24"/>
          <w:szCs w:val="24"/>
        </w:rPr>
      </w:pPr>
      <w:proofErr w:type="gramStart"/>
      <w:r w:rsidRPr="00A64123">
        <w:rPr>
          <w:rFonts w:ascii="Arial" w:hAnsi="Arial"/>
          <w:sz w:val="24"/>
          <w:szCs w:val="24"/>
        </w:rPr>
        <w:lastRenderedPageBreak/>
        <w:t>d) Justificativa</w:t>
      </w:r>
      <w:proofErr w:type="gramEnd"/>
      <w:r w:rsidRPr="00A64123">
        <w:rPr>
          <w:rFonts w:ascii="Arial" w:hAnsi="Arial"/>
          <w:sz w:val="24"/>
          <w:szCs w:val="24"/>
        </w:rPr>
        <w:t xml:space="preserve"> emitida pelas Secretarias solicitantes;</w:t>
      </w:r>
    </w:p>
    <w:p w:rsidR="00B8272A" w:rsidRPr="00A64123" w:rsidRDefault="00B8272A" w:rsidP="00B8272A">
      <w:pPr>
        <w:pStyle w:val="Corpodetexto"/>
        <w:spacing w:after="0" w:line="360" w:lineRule="auto"/>
        <w:ind w:firstLine="1134"/>
        <w:jc w:val="both"/>
        <w:rPr>
          <w:rFonts w:ascii="Arial" w:hAnsi="Arial"/>
          <w:sz w:val="24"/>
          <w:szCs w:val="24"/>
        </w:rPr>
      </w:pPr>
    </w:p>
    <w:p w:rsidR="00B8272A" w:rsidRPr="00A64123" w:rsidRDefault="00B8272A" w:rsidP="00B8272A">
      <w:pPr>
        <w:pStyle w:val="Corpodetexto"/>
        <w:spacing w:after="0" w:line="360" w:lineRule="auto"/>
        <w:ind w:firstLine="1134"/>
        <w:jc w:val="both"/>
        <w:rPr>
          <w:sz w:val="24"/>
          <w:szCs w:val="24"/>
        </w:rPr>
      </w:pPr>
      <w:proofErr w:type="gramStart"/>
      <w:r w:rsidRPr="00A64123">
        <w:rPr>
          <w:rFonts w:ascii="Arial" w:hAnsi="Arial"/>
          <w:sz w:val="24"/>
          <w:szCs w:val="24"/>
        </w:rPr>
        <w:t>e) Justificativa</w:t>
      </w:r>
      <w:proofErr w:type="gramEnd"/>
      <w:r w:rsidRPr="00A64123">
        <w:rPr>
          <w:rFonts w:ascii="Arial" w:hAnsi="Arial"/>
          <w:sz w:val="24"/>
          <w:szCs w:val="24"/>
        </w:rPr>
        <w:t xml:space="preserve"> para vedação da participação de empresas em consórcio;</w:t>
      </w:r>
    </w:p>
    <w:p w:rsidR="00B8272A" w:rsidRPr="00A64123" w:rsidRDefault="00B8272A" w:rsidP="00B8272A">
      <w:pPr>
        <w:pStyle w:val="Corpodetexto"/>
        <w:spacing w:after="0" w:line="360" w:lineRule="auto"/>
        <w:ind w:firstLine="1134"/>
        <w:jc w:val="both"/>
        <w:rPr>
          <w:rFonts w:ascii="Arial" w:hAnsi="Arial"/>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sz w:val="24"/>
          <w:szCs w:val="24"/>
        </w:rPr>
        <w:t>f) Balizamento de preços conforme preceitua a Resolução de Consulta n. 20/2016 do TCE/MT;</w:t>
      </w:r>
    </w:p>
    <w:p w:rsidR="00B8272A" w:rsidRPr="00A64123" w:rsidRDefault="00B8272A" w:rsidP="00B8272A">
      <w:pPr>
        <w:pStyle w:val="Corpodetexto"/>
        <w:spacing w:after="0" w:line="360" w:lineRule="auto"/>
        <w:ind w:firstLine="1134"/>
        <w:jc w:val="both"/>
        <w:rPr>
          <w:rFonts w:ascii="Arial" w:hAnsi="Arial"/>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sz w:val="24"/>
          <w:szCs w:val="24"/>
        </w:rPr>
        <w:t>g) Orçamentos e instrumentos oficiais utilizados para o balizamento;</w:t>
      </w:r>
    </w:p>
    <w:p w:rsidR="00B8272A" w:rsidRPr="00A64123" w:rsidRDefault="00B8272A" w:rsidP="00B8272A">
      <w:pPr>
        <w:pStyle w:val="Corpodetexto"/>
        <w:spacing w:after="0" w:line="360" w:lineRule="auto"/>
        <w:ind w:firstLine="1134"/>
        <w:jc w:val="both"/>
        <w:rPr>
          <w:rFonts w:ascii="Arial" w:hAnsi="Arial"/>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sz w:val="24"/>
          <w:szCs w:val="24"/>
        </w:rPr>
        <w:t xml:space="preserve">h) </w:t>
      </w:r>
      <w:r w:rsidRPr="00A64123">
        <w:rPr>
          <w:rFonts w:ascii="Arial" w:hAnsi="Arial" w:cs="Garamond"/>
          <w:sz w:val="24"/>
          <w:szCs w:val="24"/>
        </w:rPr>
        <w:t>Declaração de existência de dotação orçamentária suficiente para suportar a despesa</w:t>
      </w:r>
      <w:r w:rsidR="005043B1" w:rsidRPr="00A64123">
        <w:rPr>
          <w:rFonts w:ascii="Arial" w:hAnsi="Arial" w:cs="Garamond"/>
          <w:sz w:val="24"/>
          <w:szCs w:val="24"/>
        </w:rPr>
        <w:t>.</w:t>
      </w:r>
    </w:p>
    <w:p w:rsidR="00B8272A" w:rsidRPr="00A64123" w:rsidRDefault="00B8272A" w:rsidP="00B8272A">
      <w:pPr>
        <w:pStyle w:val="Corpodetexto"/>
        <w:spacing w:after="0" w:line="360" w:lineRule="auto"/>
        <w:ind w:firstLine="1134"/>
        <w:jc w:val="both"/>
        <w:rPr>
          <w:rFonts w:ascii="Arial" w:hAnsi="Arial" w:cs="Garamond"/>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cs="Garamond"/>
          <w:sz w:val="24"/>
          <w:szCs w:val="24"/>
        </w:rPr>
        <w:t>i) Autorização expedida pela autoridade competente para efetiva abertura do processo licitatório;</w:t>
      </w:r>
    </w:p>
    <w:p w:rsidR="00B8272A" w:rsidRPr="00A64123" w:rsidRDefault="00B8272A" w:rsidP="00B8272A">
      <w:pPr>
        <w:pStyle w:val="Corpodetexto"/>
        <w:spacing w:after="0" w:line="360" w:lineRule="auto"/>
        <w:ind w:firstLine="1134"/>
        <w:jc w:val="both"/>
        <w:rPr>
          <w:rFonts w:ascii="Arial" w:hAnsi="Arial" w:cs="Garamond"/>
          <w:sz w:val="24"/>
          <w:szCs w:val="24"/>
        </w:rPr>
      </w:pPr>
    </w:p>
    <w:p w:rsidR="00B8272A" w:rsidRPr="00A64123" w:rsidRDefault="00B8272A" w:rsidP="00B8272A">
      <w:pPr>
        <w:pStyle w:val="Corpodetexto"/>
        <w:spacing w:after="0" w:line="360" w:lineRule="auto"/>
        <w:ind w:firstLine="1134"/>
        <w:jc w:val="both"/>
        <w:rPr>
          <w:sz w:val="24"/>
          <w:szCs w:val="24"/>
        </w:rPr>
      </w:pPr>
      <w:proofErr w:type="gramStart"/>
      <w:r w:rsidRPr="00A64123">
        <w:rPr>
          <w:rFonts w:ascii="Arial" w:hAnsi="Arial" w:cs="Garamond"/>
          <w:sz w:val="24"/>
          <w:szCs w:val="24"/>
        </w:rPr>
        <w:t>j) Demais</w:t>
      </w:r>
      <w:proofErr w:type="gramEnd"/>
      <w:r w:rsidRPr="00A64123">
        <w:rPr>
          <w:rFonts w:ascii="Arial" w:hAnsi="Arial" w:cs="Garamond"/>
          <w:sz w:val="24"/>
          <w:szCs w:val="24"/>
        </w:rPr>
        <w:t xml:space="preserve"> documentos de andamento processual;</w:t>
      </w:r>
    </w:p>
    <w:p w:rsidR="00B8272A" w:rsidRPr="00A64123" w:rsidRDefault="00B8272A" w:rsidP="00B8272A">
      <w:pPr>
        <w:pStyle w:val="Corpodetexto"/>
        <w:spacing w:after="0" w:line="360" w:lineRule="auto"/>
        <w:ind w:firstLine="1134"/>
        <w:jc w:val="both"/>
        <w:rPr>
          <w:rFonts w:ascii="Arial" w:hAnsi="Arial" w:cs="Garamond"/>
          <w:sz w:val="24"/>
          <w:szCs w:val="24"/>
        </w:rPr>
      </w:pPr>
    </w:p>
    <w:p w:rsidR="00B8272A" w:rsidRPr="00A64123" w:rsidRDefault="00B8272A" w:rsidP="00B8272A">
      <w:pPr>
        <w:pStyle w:val="Corpodetexto"/>
        <w:spacing w:after="0" w:line="360" w:lineRule="auto"/>
        <w:ind w:firstLine="1134"/>
        <w:jc w:val="both"/>
        <w:rPr>
          <w:sz w:val="24"/>
          <w:szCs w:val="24"/>
        </w:rPr>
      </w:pPr>
      <w:r w:rsidRPr="00A64123">
        <w:rPr>
          <w:rFonts w:ascii="Arial" w:hAnsi="Arial" w:cs="Garamond"/>
          <w:sz w:val="24"/>
          <w:szCs w:val="24"/>
        </w:rPr>
        <w:t>k) Minuta do edital e seus anexos;</w:t>
      </w:r>
    </w:p>
    <w:p w:rsidR="00B8272A" w:rsidRPr="00A64123" w:rsidRDefault="00B8272A" w:rsidP="00B8272A">
      <w:pPr>
        <w:pStyle w:val="Corpodetexto"/>
        <w:spacing w:after="0" w:line="360" w:lineRule="auto"/>
        <w:ind w:firstLine="1134"/>
        <w:jc w:val="both"/>
        <w:rPr>
          <w:rFonts w:ascii="Arial" w:hAnsi="Arial" w:cs="Garamond"/>
          <w:sz w:val="24"/>
          <w:szCs w:val="24"/>
        </w:rPr>
      </w:pPr>
    </w:p>
    <w:p w:rsidR="00B8272A" w:rsidRPr="00A64123" w:rsidRDefault="00B8272A" w:rsidP="00B8272A">
      <w:pPr>
        <w:spacing w:line="360" w:lineRule="auto"/>
        <w:ind w:firstLine="1134"/>
        <w:jc w:val="both"/>
        <w:rPr>
          <w:sz w:val="24"/>
          <w:szCs w:val="24"/>
        </w:rPr>
      </w:pPr>
      <w:r w:rsidRPr="00A64123">
        <w:rPr>
          <w:rFonts w:ascii="Arial" w:hAnsi="Arial"/>
          <w:sz w:val="24"/>
          <w:szCs w:val="24"/>
        </w:rPr>
        <w:t xml:space="preserve">Na sequência, o processo foi </w:t>
      </w:r>
      <w:r w:rsidR="00514278" w:rsidRPr="00A64123">
        <w:rPr>
          <w:rFonts w:ascii="Arial" w:hAnsi="Arial"/>
          <w:sz w:val="24"/>
          <w:szCs w:val="24"/>
        </w:rPr>
        <w:t>remetido a este Procurador Municipal</w:t>
      </w:r>
      <w:r w:rsidRPr="00A64123">
        <w:rPr>
          <w:rFonts w:ascii="Arial" w:hAnsi="Arial"/>
          <w:sz w:val="24"/>
          <w:szCs w:val="24"/>
        </w:rPr>
        <w:t xml:space="preserve">, para a análise </w:t>
      </w:r>
      <w:r w:rsidRPr="00A64123">
        <w:rPr>
          <w:rFonts w:ascii="Arial" w:hAnsi="Arial"/>
          <w:sz w:val="24"/>
          <w:szCs w:val="24"/>
          <w:u w:val="single"/>
        </w:rPr>
        <w:t>prévia</w:t>
      </w:r>
      <w:r w:rsidRPr="00A64123">
        <w:rPr>
          <w:rFonts w:ascii="Arial" w:hAnsi="Arial"/>
          <w:sz w:val="24"/>
          <w:szCs w:val="24"/>
        </w:rPr>
        <w:t xml:space="preserve"> dos aspectos jurídicos prescritos pelo art. 38, p. único da Lei Federal n. 8.666/93.</w:t>
      </w:r>
    </w:p>
    <w:p w:rsidR="00B8272A" w:rsidRPr="00A64123" w:rsidRDefault="00B8272A" w:rsidP="00B8272A">
      <w:pPr>
        <w:spacing w:line="360" w:lineRule="auto"/>
        <w:ind w:firstLine="1134"/>
        <w:jc w:val="both"/>
        <w:rPr>
          <w:rFonts w:ascii="Arial" w:hAnsi="Arial"/>
          <w:sz w:val="24"/>
          <w:szCs w:val="24"/>
        </w:rPr>
      </w:pPr>
    </w:p>
    <w:p w:rsidR="00B8272A" w:rsidRPr="00A64123" w:rsidRDefault="00B8272A" w:rsidP="00B8272A">
      <w:pPr>
        <w:spacing w:line="360" w:lineRule="auto"/>
        <w:ind w:firstLine="1134"/>
        <w:jc w:val="both"/>
        <w:rPr>
          <w:rFonts w:ascii="Arial" w:hAnsi="Arial"/>
          <w:sz w:val="24"/>
          <w:szCs w:val="24"/>
        </w:rPr>
      </w:pPr>
      <w:r w:rsidRPr="00A64123">
        <w:rPr>
          <w:rFonts w:ascii="Arial" w:hAnsi="Arial"/>
          <w:sz w:val="24"/>
          <w:szCs w:val="24"/>
        </w:rPr>
        <w:t>Este Parecer, portanto, tem o escopo de assistir o Município no controle interno da legalidade dos atos administrativos praticados na fase preparatória do procedimento.</w:t>
      </w:r>
    </w:p>
    <w:p w:rsidR="00B8272A" w:rsidRPr="00A64123" w:rsidRDefault="00B8272A" w:rsidP="00B8272A">
      <w:pPr>
        <w:spacing w:line="360" w:lineRule="auto"/>
        <w:ind w:firstLine="1134"/>
        <w:jc w:val="both"/>
        <w:rPr>
          <w:sz w:val="24"/>
          <w:szCs w:val="24"/>
        </w:rPr>
      </w:pPr>
      <w:r w:rsidRPr="00A64123">
        <w:rPr>
          <w:rFonts w:ascii="Arial" w:hAnsi="Arial"/>
          <w:sz w:val="24"/>
          <w:szCs w:val="24"/>
        </w:rPr>
        <w:t>É o sucinto relatório.</w:t>
      </w:r>
    </w:p>
    <w:p w:rsidR="00B8272A" w:rsidRPr="00A64123" w:rsidRDefault="00B8272A" w:rsidP="00B8272A">
      <w:pPr>
        <w:spacing w:line="360" w:lineRule="auto"/>
        <w:ind w:firstLine="1134"/>
        <w:jc w:val="both"/>
        <w:rPr>
          <w:sz w:val="24"/>
          <w:szCs w:val="24"/>
        </w:rPr>
      </w:pPr>
      <w:r w:rsidRPr="00A64123">
        <w:rPr>
          <w:rFonts w:ascii="Arial" w:hAnsi="Arial"/>
          <w:sz w:val="24"/>
          <w:szCs w:val="24"/>
        </w:rPr>
        <w:t xml:space="preserve">Passa-se a apreciação. </w:t>
      </w:r>
    </w:p>
    <w:p w:rsidR="00F3310A" w:rsidRDefault="00F3310A" w:rsidP="009C4168">
      <w:pPr>
        <w:spacing w:line="360" w:lineRule="auto"/>
        <w:ind w:firstLine="1134"/>
        <w:jc w:val="both"/>
        <w:rPr>
          <w:rFonts w:ascii="Arial" w:hAnsi="Arial" w:cs="Arial"/>
          <w:sz w:val="24"/>
          <w:szCs w:val="24"/>
        </w:rPr>
      </w:pPr>
    </w:p>
    <w:p w:rsidR="00A64123" w:rsidRDefault="00A64123" w:rsidP="009C4168">
      <w:pPr>
        <w:spacing w:line="360" w:lineRule="auto"/>
        <w:ind w:firstLine="1134"/>
        <w:jc w:val="both"/>
        <w:rPr>
          <w:rFonts w:ascii="Arial" w:hAnsi="Arial" w:cs="Arial"/>
          <w:sz w:val="24"/>
          <w:szCs w:val="24"/>
        </w:rPr>
      </w:pPr>
    </w:p>
    <w:p w:rsidR="00A64123" w:rsidRDefault="00A64123" w:rsidP="009C4168">
      <w:pPr>
        <w:spacing w:line="360" w:lineRule="auto"/>
        <w:ind w:firstLine="1134"/>
        <w:jc w:val="both"/>
        <w:rPr>
          <w:rFonts w:ascii="Arial" w:hAnsi="Arial" w:cs="Arial"/>
          <w:sz w:val="24"/>
          <w:szCs w:val="24"/>
        </w:rPr>
      </w:pPr>
    </w:p>
    <w:p w:rsidR="00352A5D" w:rsidRPr="00A64123" w:rsidRDefault="00352A5D" w:rsidP="00E517BB">
      <w:pPr>
        <w:pStyle w:val="Default"/>
        <w:numPr>
          <w:ilvl w:val="0"/>
          <w:numId w:val="1"/>
        </w:numPr>
        <w:spacing w:before="120" w:after="120" w:line="360" w:lineRule="auto"/>
        <w:ind w:left="851" w:hanging="851"/>
        <w:jc w:val="both"/>
        <w:rPr>
          <w:b/>
          <w:color w:val="auto"/>
        </w:rPr>
      </w:pPr>
      <w:r w:rsidRPr="00A64123">
        <w:rPr>
          <w:b/>
          <w:color w:val="auto"/>
        </w:rPr>
        <w:lastRenderedPageBreak/>
        <w:t>FUNDAMENTAÇÃO</w:t>
      </w:r>
    </w:p>
    <w:p w:rsidR="00CD1A02" w:rsidRPr="00A64123" w:rsidRDefault="00CD1A02" w:rsidP="00CD1A02">
      <w:pPr>
        <w:spacing w:line="360" w:lineRule="auto"/>
        <w:ind w:firstLine="1134"/>
        <w:jc w:val="both"/>
        <w:rPr>
          <w:rFonts w:ascii="Arial" w:hAnsi="Arial" w:cs="Arial"/>
          <w:b/>
          <w:bCs/>
          <w:sz w:val="24"/>
          <w:szCs w:val="24"/>
        </w:rPr>
      </w:pPr>
      <w:r w:rsidRPr="00A64123">
        <w:rPr>
          <w:rFonts w:ascii="Arial" w:hAnsi="Arial" w:cs="Arial"/>
          <w:b/>
          <w:bCs/>
          <w:sz w:val="24"/>
          <w:szCs w:val="24"/>
        </w:rPr>
        <w:t>A) Das Disposições Preliminares;</w:t>
      </w:r>
    </w:p>
    <w:p w:rsidR="00CD1A02" w:rsidRPr="00A64123" w:rsidRDefault="00CD1A02" w:rsidP="00CD1A02">
      <w:pPr>
        <w:spacing w:line="360" w:lineRule="auto"/>
        <w:ind w:firstLine="1134"/>
        <w:jc w:val="both"/>
        <w:rPr>
          <w:rFonts w:ascii="Arial" w:hAnsi="Arial" w:cs="Arial"/>
          <w:b/>
          <w:bCs/>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A minuta em apreço foi encaminhada a esta Procuradoria Municipal, para fins de análise da legalidade do procedimento licitatório e da minuta do edital e seus anexos.</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Em assim sendo, desde já alerto a autoridade competente de que a análise aqui efetuada se restringe aos aspectos jurídico-formais do procedimento, de modo que não compete a este parecerista adentrar ao mérito de conveniência e oportunidade do ato praticado. Dito de outro modo, a análise será restrita aos pontos jurídicos, estando excluídos quaisquer aspectos técnicos, econômicos e/ou discricionários.</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Portanto, é de suma importância que se dê a prudente justificativa ao ato que se pretende realizar, considerando que recairá sobre a autoridade solicitante a responsabilidade por sua adequação ao interesse público.</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b/>
          <w:bCs/>
          <w:sz w:val="24"/>
          <w:szCs w:val="24"/>
        </w:rPr>
        <w:t>B) Da adequação da modalidade licitatória eleita;</w:t>
      </w:r>
    </w:p>
    <w:p w:rsidR="00CD1A02" w:rsidRPr="00A64123" w:rsidRDefault="00CD1A02" w:rsidP="00CD1A02">
      <w:pPr>
        <w:pStyle w:val="Corpodetexto"/>
        <w:spacing w:after="0" w:line="360" w:lineRule="auto"/>
        <w:ind w:firstLine="1134"/>
        <w:jc w:val="both"/>
        <w:rPr>
          <w:rFonts w:ascii="Arial" w:hAnsi="Arial" w:cs="Arial"/>
          <w:b/>
          <w:bCs/>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O artigo 37, inciso XXI da Constituição Federal determina que as obras, serviços, compras e alienações da Administração Pública serão precedidas de licitação pública que assegure igualdade de condições a todos os concorrentes, ressalvados os casos especificados na legislação.</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A licitação configura procedimento administrativo mediante o qual a Administração Pública seleciona a proposta mais vantajosa, caracterizando-se como ato administrativo formal, praticado pelo Gestor Público, devendo ser processado em estrita conformidade com os princípios estabelecidos na Constituição Federal e na legislação infraconstitucional.</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lastRenderedPageBreak/>
        <w:t>Com vistas nisso, o legislador infraconstitucional, para dar plena aplicabilidade do preceito constitucional supra, positivou em nosso ordenamento pátrio as Leis Nacionais nº. 8.666/93 e 10.520/02, as quais estabelecem as diretrizes gerais a serem observadas pelo administrador público quando da realização de seus procedimentos de contratações, bem como entabula as possíveis modalidades de licitação que poderão ser adotadas na busca da proposta mais vantajosa para a Administração Pública.</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No caso dos autos, nota-se que a autoridade competente optou pela modalidade licitatória pregão eletrônico, a qual possui sua regulamentação legal encampada na Lei nº. 10.520/02.</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 xml:space="preserve">O texto normativo disciplina em seu artigo 1º, parágrafo único e artigo 1º, § 2º., que são considerados bens e serviços comuns aqueles cujos padrões de desempenho e qualidade possam ser objetivamente definidos pelo edital, por meio de especificações usuais no mercado. </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 xml:space="preserve">Veja que muito embora tenha se definido genericamente os casos em que a modalidade licitatória pregão poderá ser utilizada, os legisladores deixaram de estipular precisa e taxativamente o rol de bens e serviços que são considerados comuns e usuais de mercado. Tal situação deu azo a inúmeros debates doutrinários e jurisprudenciais que buscam interpretar tal norma da forma que mais coaduna com o que se entende por cabível e legal. </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 xml:space="preserve">Neste horizonte, convém trazer à baila o entendimento insculpido nos precedentes do TCU, </w:t>
      </w:r>
      <w:r w:rsidRPr="00A64123">
        <w:rPr>
          <w:rFonts w:ascii="Arial" w:hAnsi="Arial" w:cs="Arial"/>
          <w:i/>
          <w:iCs/>
          <w:sz w:val="24"/>
          <w:szCs w:val="24"/>
        </w:rPr>
        <w:t xml:space="preserve">in verbis: </w:t>
      </w:r>
    </w:p>
    <w:p w:rsidR="00CD1A02" w:rsidRPr="00A64123" w:rsidRDefault="00CD1A02" w:rsidP="00CD1A02">
      <w:pPr>
        <w:spacing w:line="360" w:lineRule="auto"/>
        <w:ind w:firstLine="1134"/>
        <w:jc w:val="both"/>
        <w:rPr>
          <w:rFonts w:ascii="Arial" w:hAnsi="Arial" w:cs="Arial"/>
          <w:i/>
          <w:iCs/>
          <w:sz w:val="24"/>
          <w:szCs w:val="24"/>
        </w:rPr>
      </w:pPr>
    </w:p>
    <w:p w:rsidR="00CD1A02" w:rsidRPr="00A64123" w:rsidRDefault="00CD1A02" w:rsidP="00CD1A02">
      <w:pPr>
        <w:pStyle w:val="PargrafodaLista"/>
        <w:tabs>
          <w:tab w:val="left" w:pos="1134"/>
        </w:tabs>
        <w:ind w:left="2268"/>
        <w:jc w:val="both"/>
        <w:rPr>
          <w:rFonts w:ascii="Arial" w:hAnsi="Arial" w:cs="Arial"/>
          <w:sz w:val="24"/>
          <w:szCs w:val="24"/>
        </w:rPr>
      </w:pPr>
      <w:r w:rsidRPr="00A64123">
        <w:rPr>
          <w:rFonts w:ascii="Arial" w:hAnsi="Arial" w:cs="Arial"/>
          <w:i/>
          <w:sz w:val="24"/>
          <w:szCs w:val="24"/>
        </w:rPr>
        <w:t>(...)</w:t>
      </w:r>
    </w:p>
    <w:p w:rsidR="00CD1A02" w:rsidRPr="00A64123" w:rsidRDefault="00CD1A02" w:rsidP="00CD1A02">
      <w:pPr>
        <w:pStyle w:val="PargrafodaLista"/>
        <w:tabs>
          <w:tab w:val="left" w:pos="1134"/>
        </w:tabs>
        <w:ind w:left="2268"/>
        <w:jc w:val="both"/>
        <w:rPr>
          <w:rFonts w:ascii="Arial" w:hAnsi="Arial" w:cs="Arial"/>
          <w:sz w:val="24"/>
          <w:szCs w:val="24"/>
        </w:rPr>
      </w:pPr>
      <w:r w:rsidRPr="00A64123">
        <w:rPr>
          <w:rFonts w:ascii="Arial" w:hAnsi="Arial" w:cs="Arial"/>
          <w:b/>
          <w:i/>
          <w:sz w:val="24"/>
          <w:szCs w:val="24"/>
        </w:rPr>
        <w:t xml:space="preserve">Apesar dessas considerações, é essencial destacar que o conceito de serviço comum não está ligado </w:t>
      </w:r>
      <w:proofErr w:type="gramStart"/>
      <w:r w:rsidRPr="00A64123">
        <w:rPr>
          <w:rFonts w:ascii="Arial" w:hAnsi="Arial" w:cs="Arial"/>
          <w:b/>
          <w:i/>
          <w:sz w:val="24"/>
          <w:szCs w:val="24"/>
        </w:rPr>
        <w:t>a</w:t>
      </w:r>
      <w:proofErr w:type="gramEnd"/>
      <w:r w:rsidRPr="00A64123">
        <w:rPr>
          <w:rFonts w:ascii="Arial" w:hAnsi="Arial" w:cs="Arial"/>
          <w:b/>
          <w:i/>
          <w:sz w:val="24"/>
          <w:szCs w:val="24"/>
        </w:rPr>
        <w:t xml:space="preserve"> sua complexidade.</w:t>
      </w:r>
      <w:r w:rsidRPr="00A64123">
        <w:rPr>
          <w:rFonts w:ascii="Arial" w:hAnsi="Arial" w:cs="Arial"/>
          <w:i/>
          <w:sz w:val="24"/>
          <w:szCs w:val="24"/>
        </w:rPr>
        <w:t xml:space="preserve"> O parágrafo único do art. 1º da Lei n.º 10.520/2002 define serviço comum:</w:t>
      </w:r>
    </w:p>
    <w:p w:rsidR="00CD1A02" w:rsidRPr="00A64123" w:rsidRDefault="00CD1A02" w:rsidP="00CD1A02">
      <w:pPr>
        <w:pStyle w:val="PargrafodaLista"/>
        <w:tabs>
          <w:tab w:val="left" w:pos="1134"/>
        </w:tabs>
        <w:ind w:left="2268"/>
        <w:jc w:val="both"/>
        <w:rPr>
          <w:rFonts w:ascii="Arial" w:hAnsi="Arial" w:cs="Arial"/>
          <w:sz w:val="24"/>
          <w:szCs w:val="24"/>
        </w:rPr>
      </w:pPr>
      <w:r w:rsidRPr="00A64123">
        <w:rPr>
          <w:rFonts w:ascii="Arial" w:hAnsi="Arial" w:cs="Arial"/>
          <w:i/>
          <w:sz w:val="24"/>
          <w:szCs w:val="24"/>
        </w:rPr>
        <w:lastRenderedPageBreak/>
        <w:t>‘Consideram-se bens e serviços comuns, para os fins e efeitos deste artigo, aqueles cujos padrões de desempenho e qualidade possam ser objetivamente definidos pelo edital, por meio de especificações usuais no mercado’.</w:t>
      </w:r>
    </w:p>
    <w:p w:rsidR="00CD1A02" w:rsidRPr="00A64123" w:rsidRDefault="00CD1A02" w:rsidP="00CD1A02">
      <w:pPr>
        <w:pStyle w:val="PargrafodaLista"/>
        <w:tabs>
          <w:tab w:val="left" w:pos="851"/>
        </w:tabs>
        <w:ind w:left="2268"/>
        <w:jc w:val="both"/>
        <w:rPr>
          <w:rFonts w:ascii="Arial" w:hAnsi="Arial" w:cs="Arial"/>
          <w:i/>
          <w:sz w:val="24"/>
          <w:szCs w:val="24"/>
        </w:rPr>
      </w:pPr>
      <w:r w:rsidRPr="00A64123">
        <w:rPr>
          <w:rFonts w:ascii="Arial" w:hAnsi="Arial" w:cs="Arial"/>
          <w:i/>
          <w:sz w:val="24"/>
          <w:szCs w:val="24"/>
        </w:rPr>
        <w:t>Em nenhum momento, usaram-se os termos ‘complexidade’ ou ‘simplicidade’; o conceito de comum é que possa ser definido objetivamente e ter padrões de desempenho e qualidade especificados como foram os serviços constantes deste edital.</w:t>
      </w:r>
    </w:p>
    <w:p w:rsidR="00CD1A02" w:rsidRPr="00A64123" w:rsidRDefault="00CD1A02" w:rsidP="00CD1A02">
      <w:pPr>
        <w:spacing w:line="360" w:lineRule="auto"/>
        <w:ind w:left="2268"/>
        <w:jc w:val="both"/>
        <w:rPr>
          <w:rFonts w:ascii="Arial" w:hAnsi="Arial" w:cs="Arial"/>
          <w:i/>
          <w:iCs/>
          <w:sz w:val="24"/>
          <w:szCs w:val="24"/>
        </w:rPr>
      </w:pPr>
      <w:r w:rsidRPr="00A64123">
        <w:rPr>
          <w:rFonts w:ascii="Arial" w:hAnsi="Arial" w:cs="Arial"/>
          <w:i/>
          <w:iCs/>
          <w:sz w:val="24"/>
          <w:szCs w:val="24"/>
        </w:rPr>
        <w:t>(</w:t>
      </w:r>
      <w:proofErr w:type="gramStart"/>
      <w:r w:rsidRPr="00A64123">
        <w:rPr>
          <w:rFonts w:ascii="Arial" w:hAnsi="Arial" w:cs="Arial"/>
          <w:i/>
          <w:iCs/>
          <w:sz w:val="24"/>
          <w:szCs w:val="24"/>
        </w:rPr>
        <w:t>trecho</w:t>
      </w:r>
      <w:proofErr w:type="gramEnd"/>
      <w:r w:rsidRPr="00A64123">
        <w:rPr>
          <w:rFonts w:ascii="Arial" w:hAnsi="Arial" w:cs="Arial"/>
          <w:i/>
          <w:iCs/>
          <w:sz w:val="24"/>
          <w:szCs w:val="24"/>
        </w:rPr>
        <w:t xml:space="preserve"> do Voto do Ministro Relator – Acórdão-TCU nº 1287/2008 – Plenário).</w:t>
      </w:r>
    </w:p>
    <w:p w:rsidR="00CD1A02" w:rsidRPr="00A64123" w:rsidRDefault="00CD1A02" w:rsidP="00CD1A02">
      <w:pPr>
        <w:pStyle w:val="PargrafodaLista"/>
        <w:tabs>
          <w:tab w:val="left" w:pos="851"/>
          <w:tab w:val="left" w:pos="1100"/>
        </w:tabs>
        <w:ind w:left="2268"/>
        <w:jc w:val="both"/>
        <w:rPr>
          <w:rFonts w:ascii="Arial" w:hAnsi="Arial" w:cs="Arial"/>
          <w:i/>
          <w:iCs/>
          <w:sz w:val="24"/>
          <w:szCs w:val="24"/>
        </w:rPr>
      </w:pPr>
      <w:r w:rsidRPr="00A64123">
        <w:rPr>
          <w:rFonts w:ascii="Arial" w:hAnsi="Arial" w:cs="Arial"/>
          <w:i/>
          <w:iCs/>
          <w:sz w:val="24"/>
          <w:szCs w:val="24"/>
        </w:rPr>
        <w:t xml:space="preserve">9. </w:t>
      </w:r>
      <w:proofErr w:type="gramStart"/>
      <w:r w:rsidRPr="00A64123">
        <w:rPr>
          <w:rFonts w:ascii="Arial" w:hAnsi="Arial" w:cs="Arial"/>
          <w:i/>
          <w:iCs/>
          <w:sz w:val="24"/>
          <w:szCs w:val="24"/>
        </w:rPr>
        <w:tab/>
        <w:t>No</w:t>
      </w:r>
      <w:proofErr w:type="gramEnd"/>
      <w:r w:rsidRPr="00A64123">
        <w:rPr>
          <w:rFonts w:ascii="Arial" w:hAnsi="Arial" w:cs="Arial"/>
          <w:i/>
          <w:iCs/>
          <w:sz w:val="24"/>
          <w:szCs w:val="24"/>
        </w:rPr>
        <w:t xml:space="preserve"> que tange à utilização da modalidade pregão para a contratação, destaco que não há irregularidade na escolha efetuada pela entidade. A dificuldade em estabelecer se é cabível, ou não, a realização de pregão, questão que vem sendo diuturnamente enfrentada por este Tribunal, reside no fato de definir se o objeto licitado </w:t>
      </w:r>
      <w:proofErr w:type="gramStart"/>
      <w:r w:rsidRPr="00A64123">
        <w:rPr>
          <w:rFonts w:ascii="Arial" w:hAnsi="Arial" w:cs="Arial"/>
          <w:i/>
          <w:iCs/>
          <w:sz w:val="24"/>
          <w:szCs w:val="24"/>
        </w:rPr>
        <w:t>trata-se</w:t>
      </w:r>
      <w:proofErr w:type="gramEnd"/>
      <w:r w:rsidRPr="00A64123">
        <w:rPr>
          <w:rFonts w:ascii="Arial" w:hAnsi="Arial" w:cs="Arial"/>
          <w:i/>
          <w:iCs/>
          <w:sz w:val="24"/>
          <w:szCs w:val="24"/>
        </w:rPr>
        <w:t xml:space="preserve"> de serviço comum (Lei nº 10.520/2002, art. 1º).</w:t>
      </w:r>
      <w:r w:rsidRPr="00A64123">
        <w:rPr>
          <w:rFonts w:ascii="Arial" w:hAnsi="Arial" w:cs="Arial"/>
          <w:i/>
          <w:iCs/>
          <w:sz w:val="24"/>
          <w:szCs w:val="24"/>
        </w:rPr>
        <w:br/>
        <w:t xml:space="preserve">10. </w:t>
      </w:r>
      <w:r w:rsidRPr="00A64123">
        <w:rPr>
          <w:rFonts w:ascii="Arial" w:hAnsi="Arial" w:cs="Arial"/>
          <w:i/>
          <w:iCs/>
          <w:sz w:val="24"/>
          <w:szCs w:val="24"/>
        </w:rPr>
        <w:tab/>
        <w:t>Como afirmei, a Corte vem enfrentando a questão, cabendo destacar o precedente citado pela unidade técnica (Acórdão nº 2.658/2007 - Plenário) quando ficou estabelecido que, nada obstante a complexidade do objeto, ele pode ser considerado como serviço comum.</w:t>
      </w:r>
    </w:p>
    <w:p w:rsidR="00CD1A02" w:rsidRPr="00A64123" w:rsidRDefault="00CD1A02" w:rsidP="00CD1A02">
      <w:pPr>
        <w:spacing w:line="360" w:lineRule="auto"/>
        <w:ind w:left="2268"/>
        <w:jc w:val="both"/>
        <w:rPr>
          <w:rFonts w:ascii="Arial" w:hAnsi="Arial" w:cs="Arial"/>
          <w:i/>
          <w:iCs/>
          <w:sz w:val="24"/>
          <w:szCs w:val="24"/>
        </w:rPr>
      </w:pPr>
      <w:r w:rsidRPr="00A64123">
        <w:rPr>
          <w:rFonts w:ascii="Arial" w:hAnsi="Arial" w:cs="Arial"/>
          <w:i/>
          <w:iCs/>
          <w:sz w:val="24"/>
          <w:szCs w:val="24"/>
        </w:rPr>
        <w:t>_______________________________________________________</w:t>
      </w:r>
    </w:p>
    <w:p w:rsidR="00CD1A02" w:rsidRPr="00A64123" w:rsidRDefault="00CD1A02" w:rsidP="00CD1A02">
      <w:pPr>
        <w:spacing w:before="57" w:after="57"/>
        <w:ind w:left="2268"/>
        <w:jc w:val="both"/>
        <w:rPr>
          <w:rFonts w:ascii="Arial" w:hAnsi="Arial" w:cs="Arial"/>
          <w:i/>
          <w:iCs/>
          <w:sz w:val="24"/>
          <w:szCs w:val="24"/>
        </w:rPr>
      </w:pPr>
      <w:r w:rsidRPr="00A64123">
        <w:rPr>
          <w:rFonts w:ascii="Arial" w:hAnsi="Arial" w:cs="Arial"/>
          <w:i/>
          <w:iCs/>
          <w:sz w:val="24"/>
          <w:szCs w:val="24"/>
        </w:rPr>
        <w:t xml:space="preserve">43. </w:t>
      </w:r>
      <w:proofErr w:type="gramStart"/>
      <w:r w:rsidRPr="00A64123">
        <w:rPr>
          <w:rFonts w:ascii="Arial" w:hAnsi="Arial" w:cs="Arial"/>
          <w:i/>
          <w:iCs/>
          <w:sz w:val="24"/>
          <w:szCs w:val="24"/>
        </w:rPr>
        <w:tab/>
        <w:t>No</w:t>
      </w:r>
      <w:proofErr w:type="gramEnd"/>
      <w:r w:rsidRPr="00A64123">
        <w:rPr>
          <w:rFonts w:ascii="Arial" w:hAnsi="Arial" w:cs="Arial"/>
          <w:i/>
          <w:iCs/>
          <w:sz w:val="24"/>
          <w:szCs w:val="24"/>
        </w:rPr>
        <w:t xml:space="preserve"> que tange à escolha da modalidade em discussão para o certame, ressalto, inicialmente, que a definição de bens e serviços comuns insculpida no parágrafo único do art. 1º da Lei 10.520/2002, um conceito jurídico indeterminado, admite uma zona cinzenta de incerteza, de difícil definição, portanto:</w:t>
      </w:r>
    </w:p>
    <w:p w:rsidR="00CD1A02" w:rsidRPr="00A64123" w:rsidRDefault="00CD1A02" w:rsidP="00CD1A02">
      <w:pPr>
        <w:spacing w:before="57" w:after="57"/>
        <w:ind w:left="2268"/>
        <w:jc w:val="both"/>
        <w:rPr>
          <w:rFonts w:ascii="Arial" w:hAnsi="Arial" w:cs="Arial"/>
          <w:i/>
          <w:sz w:val="24"/>
          <w:szCs w:val="24"/>
        </w:rPr>
      </w:pPr>
      <w:r w:rsidRPr="00A64123">
        <w:rPr>
          <w:rFonts w:ascii="Arial" w:hAnsi="Arial" w:cs="Arial"/>
          <w:i/>
          <w:sz w:val="24"/>
          <w:szCs w:val="24"/>
        </w:rPr>
        <w:t>'Art. 1º Para aquisição de bens e serviços comuns, poderá ser adotada a licitação na modalidade de pregão, que será regida por esta Lei.</w:t>
      </w:r>
    </w:p>
    <w:p w:rsidR="00CD1A02" w:rsidRPr="00A64123" w:rsidRDefault="00CD1A02" w:rsidP="00CD1A02">
      <w:pPr>
        <w:spacing w:before="57" w:after="57"/>
        <w:ind w:left="2268"/>
        <w:jc w:val="both"/>
        <w:rPr>
          <w:rFonts w:ascii="Arial" w:hAnsi="Arial" w:cs="Arial"/>
          <w:i/>
          <w:sz w:val="24"/>
          <w:szCs w:val="24"/>
        </w:rPr>
      </w:pPr>
      <w:r w:rsidRPr="00A64123">
        <w:rPr>
          <w:rFonts w:ascii="Arial" w:hAnsi="Arial" w:cs="Arial"/>
          <w:i/>
          <w:sz w:val="24"/>
          <w:szCs w:val="24"/>
        </w:rPr>
        <w:t>Parágrafo único. Consideram-se bens e serviços comuns, para os fins e efeitos deste artigo, aqueles cujos padrões de desempenho e qualidade possam ser objetivamente definidos pelo edital, por meio de especificações usuais no mercado.' (</w:t>
      </w:r>
      <w:proofErr w:type="gramStart"/>
      <w:r w:rsidRPr="00A64123">
        <w:rPr>
          <w:rFonts w:ascii="Arial" w:hAnsi="Arial" w:cs="Arial"/>
          <w:i/>
          <w:sz w:val="24"/>
          <w:szCs w:val="24"/>
        </w:rPr>
        <w:t>grifei</w:t>
      </w:r>
      <w:proofErr w:type="gramEnd"/>
      <w:r w:rsidRPr="00A64123">
        <w:rPr>
          <w:rFonts w:ascii="Arial" w:hAnsi="Arial" w:cs="Arial"/>
          <w:i/>
          <w:sz w:val="24"/>
          <w:szCs w:val="24"/>
        </w:rPr>
        <w:t>).</w:t>
      </w:r>
    </w:p>
    <w:p w:rsidR="00CD1A02" w:rsidRPr="00A64123" w:rsidRDefault="00CD1A02" w:rsidP="00CD1A02">
      <w:pPr>
        <w:spacing w:before="57" w:after="57"/>
        <w:ind w:left="2268"/>
        <w:jc w:val="both"/>
        <w:rPr>
          <w:rFonts w:ascii="Arial" w:hAnsi="Arial" w:cs="Arial"/>
          <w:b/>
          <w:i/>
          <w:sz w:val="24"/>
          <w:szCs w:val="24"/>
        </w:rPr>
      </w:pPr>
      <w:r w:rsidRPr="00A64123">
        <w:rPr>
          <w:rFonts w:ascii="Arial" w:hAnsi="Arial" w:cs="Arial"/>
          <w:b/>
          <w:i/>
          <w:sz w:val="24"/>
          <w:szCs w:val="24"/>
        </w:rPr>
        <w:t>44. Esta Corte, reconhecendo os benefícios trazidos pela modalidade sob exame, tem se preocupado em conferir interpretação ampliativa à definição de bens e serviços comuns pertencentes à zona de incerteza anteriormente descrita, vedando, por óbvio, a utilização do pregão para a aquisição de bens e serviços alheios à conceituação transcrita.</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color w:val="000000"/>
          <w:sz w:val="24"/>
          <w:szCs w:val="24"/>
        </w:rPr>
        <w:lastRenderedPageBreak/>
        <w:t xml:space="preserve">Vê-se, portanto, que o campo de incerteza deixado pela norma infraconstitucional deixa ao administrador, à luz do caso concreto, a análise sobre o que se entende como bens e serviços comuns e usuais de mercado. </w:t>
      </w:r>
    </w:p>
    <w:p w:rsidR="00CD1A02" w:rsidRPr="00A64123" w:rsidRDefault="00CD1A02" w:rsidP="00CD1A02">
      <w:pPr>
        <w:spacing w:line="360" w:lineRule="auto"/>
        <w:ind w:firstLine="1134"/>
        <w:jc w:val="both"/>
        <w:rPr>
          <w:rFonts w:ascii="Arial" w:hAnsi="Arial" w:cs="Arial"/>
          <w:color w:val="000000"/>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color w:val="000000"/>
          <w:sz w:val="24"/>
          <w:szCs w:val="24"/>
        </w:rPr>
        <w:t xml:space="preserve">Com isso, é de se presumir que, antes mesmo de lançar o procedimento administrativo, a autoridade competente realizou ampla pesquisa de mercado para que conseguisse chegar à conclusão de que os serviços que pretende licitar se enquadra nos conceitos acima elencados. </w:t>
      </w:r>
    </w:p>
    <w:p w:rsidR="00CD1A02" w:rsidRPr="00A64123" w:rsidRDefault="00CD1A02" w:rsidP="00CD1A02">
      <w:pPr>
        <w:spacing w:line="360" w:lineRule="auto"/>
        <w:ind w:firstLine="1134"/>
        <w:jc w:val="both"/>
        <w:rPr>
          <w:rFonts w:ascii="Arial" w:hAnsi="Arial" w:cs="Arial"/>
          <w:color w:val="000000"/>
          <w:sz w:val="24"/>
          <w:szCs w:val="24"/>
        </w:rPr>
      </w:pPr>
    </w:p>
    <w:p w:rsidR="00CD1A02" w:rsidRPr="00A64123" w:rsidRDefault="00CD1A02" w:rsidP="00CD1A02">
      <w:pPr>
        <w:spacing w:line="360" w:lineRule="auto"/>
        <w:ind w:firstLine="1134"/>
        <w:jc w:val="both"/>
        <w:rPr>
          <w:rFonts w:ascii="Arial" w:hAnsi="Arial" w:cs="Arial"/>
          <w:color w:val="000000"/>
          <w:sz w:val="24"/>
          <w:szCs w:val="24"/>
        </w:rPr>
      </w:pPr>
      <w:r w:rsidRPr="00A64123">
        <w:rPr>
          <w:rFonts w:ascii="Arial" w:hAnsi="Arial" w:cs="Arial"/>
          <w:color w:val="000000"/>
          <w:sz w:val="24"/>
          <w:szCs w:val="24"/>
        </w:rPr>
        <w:t>Como bem mencionado pelo TCU, não é a complexidade ou simplicidade do objeto que define “absolutamente” se o bem ou serviço é ou não comum de mercado.</w:t>
      </w:r>
    </w:p>
    <w:p w:rsidR="00CD1A02" w:rsidRPr="00A64123" w:rsidRDefault="00CD1A02" w:rsidP="00CD1A02">
      <w:pPr>
        <w:spacing w:line="360" w:lineRule="auto"/>
        <w:ind w:firstLine="1134"/>
        <w:jc w:val="both"/>
        <w:rPr>
          <w:rFonts w:ascii="Arial" w:hAnsi="Arial" w:cs="Arial"/>
          <w:color w:val="000000"/>
          <w:sz w:val="24"/>
          <w:szCs w:val="24"/>
        </w:rPr>
      </w:pPr>
    </w:p>
    <w:p w:rsidR="00CD1A02" w:rsidRPr="00A64123" w:rsidRDefault="00CD1A02" w:rsidP="00CD1A02">
      <w:pPr>
        <w:spacing w:line="360" w:lineRule="auto"/>
        <w:ind w:firstLine="1134"/>
        <w:jc w:val="both"/>
        <w:rPr>
          <w:rFonts w:ascii="Arial" w:hAnsi="Arial" w:cs="Arial"/>
          <w:color w:val="000000"/>
          <w:sz w:val="24"/>
          <w:szCs w:val="24"/>
        </w:rPr>
      </w:pPr>
      <w:r w:rsidRPr="00A64123">
        <w:rPr>
          <w:rFonts w:ascii="Arial" w:hAnsi="Arial" w:cs="Arial"/>
          <w:color w:val="000000"/>
          <w:sz w:val="24"/>
          <w:szCs w:val="24"/>
        </w:rPr>
        <w:t>No caso vertente, da análise dos autos do processo encaminhado, em especial dos termos constantes do Termo de Referência e justificativa anexos, pressupõe-se que o objeto a ser licitado enquadra-se dentre o conceito de bens e serviços comuns, o que viabiliza a adoção do pregão como modalidade licitatória e o exame dos demais aspectos jurídicos relativos ao certame proposto.</w:t>
      </w:r>
    </w:p>
    <w:p w:rsidR="00CD1A02" w:rsidRPr="00A64123" w:rsidRDefault="00CD1A02" w:rsidP="00CD1A02">
      <w:pPr>
        <w:spacing w:line="360" w:lineRule="auto"/>
        <w:ind w:firstLine="1134"/>
        <w:jc w:val="both"/>
        <w:rPr>
          <w:rFonts w:ascii="Arial" w:hAnsi="Arial" w:cs="Arial"/>
          <w:color w:val="000000"/>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color w:val="000000"/>
          <w:sz w:val="24"/>
          <w:szCs w:val="24"/>
        </w:rPr>
        <w:t>Nos termos do já mencionado ao norte, a análise aqui realizada restringe-se aos aspectos legais do procedimento e não à verificação técnica do objeto licitado. Deste modo, a verificação casuística dos elementos que instruem o processo de licitação aponta pela possibilidade jurídica da utilização da modalidade pregão eletrônico como pretendido</w:t>
      </w:r>
      <w:r w:rsidRPr="00A64123">
        <w:rPr>
          <w:rFonts w:ascii="Arial" w:hAnsi="Arial" w:cs="Arial"/>
          <w:sz w:val="24"/>
          <w:szCs w:val="24"/>
        </w:rPr>
        <w:t>.</w:t>
      </w:r>
    </w:p>
    <w:p w:rsidR="00CD1A02" w:rsidRPr="00A64123" w:rsidRDefault="00CD1A02" w:rsidP="00CD1A02">
      <w:pPr>
        <w:spacing w:line="360" w:lineRule="auto"/>
        <w:ind w:firstLine="1134"/>
        <w:jc w:val="both"/>
        <w:rPr>
          <w:rFonts w:ascii="Arial" w:hAnsi="Arial" w:cs="Arial"/>
          <w:sz w:val="24"/>
          <w:szCs w:val="24"/>
        </w:rPr>
      </w:pPr>
    </w:p>
    <w:p w:rsidR="000E28F2" w:rsidRPr="00A64123" w:rsidRDefault="00CD1A02" w:rsidP="000E28F2">
      <w:pPr>
        <w:pStyle w:val="Corpodetexto"/>
        <w:spacing w:after="0" w:line="360" w:lineRule="auto"/>
        <w:ind w:firstLine="1134"/>
        <w:jc w:val="both"/>
        <w:rPr>
          <w:rFonts w:ascii="Arial" w:hAnsi="Arial" w:cs="Arial"/>
          <w:b/>
          <w:bCs/>
          <w:sz w:val="24"/>
          <w:szCs w:val="24"/>
        </w:rPr>
      </w:pPr>
      <w:r w:rsidRPr="00A64123">
        <w:rPr>
          <w:rFonts w:ascii="Arial" w:hAnsi="Arial" w:cs="Arial"/>
          <w:b/>
          <w:bCs/>
          <w:sz w:val="24"/>
          <w:szCs w:val="24"/>
        </w:rPr>
        <w:t xml:space="preserve">C) </w:t>
      </w:r>
      <w:r w:rsidR="000E28F2" w:rsidRPr="00A64123">
        <w:rPr>
          <w:rFonts w:ascii="Arial" w:hAnsi="Arial" w:cs="Arial"/>
          <w:b/>
          <w:bCs/>
          <w:sz w:val="24"/>
          <w:szCs w:val="24"/>
        </w:rPr>
        <w:t>Do Sistema de Registro de Preços;</w:t>
      </w:r>
    </w:p>
    <w:p w:rsidR="000E28F2" w:rsidRPr="00A64123" w:rsidRDefault="000E28F2" w:rsidP="000E28F2">
      <w:pPr>
        <w:pStyle w:val="Textbody"/>
        <w:spacing w:after="0" w:line="360" w:lineRule="auto"/>
        <w:ind w:firstLine="1140"/>
        <w:jc w:val="both"/>
        <w:rPr>
          <w:rFonts w:ascii="Book Antiqua" w:hAnsi="Book Antiqua"/>
        </w:rPr>
      </w:pPr>
    </w:p>
    <w:p w:rsidR="000E28F2" w:rsidRPr="00A64123" w:rsidRDefault="000E28F2" w:rsidP="000E28F2">
      <w:pPr>
        <w:spacing w:line="360" w:lineRule="auto"/>
        <w:ind w:firstLine="1134"/>
        <w:jc w:val="both"/>
        <w:rPr>
          <w:sz w:val="24"/>
          <w:szCs w:val="24"/>
        </w:rPr>
      </w:pPr>
      <w:r w:rsidRPr="00A64123">
        <w:rPr>
          <w:rFonts w:ascii="Arial" w:hAnsi="Arial" w:cs="Arial"/>
          <w:sz w:val="24"/>
          <w:szCs w:val="24"/>
        </w:rPr>
        <w:t xml:space="preserve">O registro de preços vem legalmente previsto pelo artigo 15 da Lei 8.666/93 e artigo 11 da Lei 10.520/02, a ser utilizado para se fixar os preços, condições e fornecedores credenciados a contratarem com a Administração no caso de necessidade desta. </w:t>
      </w:r>
    </w:p>
    <w:p w:rsidR="000E28F2" w:rsidRPr="00A64123" w:rsidRDefault="000E28F2" w:rsidP="000E28F2">
      <w:pPr>
        <w:spacing w:line="360" w:lineRule="auto"/>
        <w:ind w:firstLine="1134"/>
        <w:jc w:val="both"/>
        <w:rPr>
          <w:rFonts w:ascii="Arial" w:hAnsi="Arial" w:cs="Arial"/>
          <w:sz w:val="24"/>
          <w:szCs w:val="24"/>
        </w:rPr>
      </w:pPr>
    </w:p>
    <w:p w:rsidR="000E28F2" w:rsidRPr="00A64123" w:rsidRDefault="000E28F2" w:rsidP="000E28F2">
      <w:pPr>
        <w:spacing w:line="360" w:lineRule="auto"/>
        <w:ind w:firstLine="1134"/>
        <w:jc w:val="both"/>
        <w:rPr>
          <w:sz w:val="24"/>
          <w:szCs w:val="24"/>
        </w:rPr>
      </w:pPr>
      <w:r w:rsidRPr="00A64123">
        <w:rPr>
          <w:rFonts w:ascii="Arial" w:hAnsi="Arial" w:cs="Arial"/>
          <w:sz w:val="24"/>
          <w:szCs w:val="24"/>
        </w:rPr>
        <w:lastRenderedPageBreak/>
        <w:t xml:space="preserve">Trata-se de importante mecanismo garantidor do princípio da celeridade, uma vez que oportuniza o registro de preços para que, em um período máximo de 12 (doze) meses, caso entenda necessário, a Administração possa adquirir produtos e serviços sem a necessidade de licitar caso a caso. </w:t>
      </w:r>
    </w:p>
    <w:p w:rsidR="000E28F2" w:rsidRPr="00A64123" w:rsidRDefault="000E28F2" w:rsidP="000E28F2">
      <w:pPr>
        <w:spacing w:line="360" w:lineRule="auto"/>
        <w:ind w:firstLine="1134"/>
        <w:jc w:val="both"/>
        <w:rPr>
          <w:rFonts w:ascii="Arial" w:hAnsi="Arial" w:cs="Arial"/>
          <w:sz w:val="24"/>
          <w:szCs w:val="24"/>
        </w:rPr>
      </w:pPr>
    </w:p>
    <w:p w:rsidR="000E28F2" w:rsidRPr="00A64123" w:rsidRDefault="00775781" w:rsidP="000E28F2">
      <w:pPr>
        <w:spacing w:line="360" w:lineRule="auto"/>
        <w:ind w:firstLine="1134"/>
        <w:jc w:val="both"/>
        <w:rPr>
          <w:rFonts w:ascii="Arial" w:hAnsi="Arial" w:cs="Arial"/>
          <w:sz w:val="24"/>
          <w:szCs w:val="24"/>
        </w:rPr>
      </w:pPr>
      <w:r w:rsidRPr="00A64123">
        <w:rPr>
          <w:rFonts w:ascii="Arial" w:hAnsi="Arial" w:cs="Arial"/>
          <w:sz w:val="24"/>
          <w:szCs w:val="24"/>
        </w:rPr>
        <w:t>P</w:t>
      </w:r>
      <w:r w:rsidR="000E28F2" w:rsidRPr="00A64123">
        <w:rPr>
          <w:rFonts w:ascii="Arial" w:hAnsi="Arial" w:cs="Arial"/>
          <w:sz w:val="24"/>
          <w:szCs w:val="24"/>
        </w:rPr>
        <w:t>ara que possa ser utilizado em sua plenitude, faz-se necessário que cada ente político elabore um decreto regulamentador que especifique quais as condições e formas de manejo de referidos instrumentos.</w:t>
      </w:r>
    </w:p>
    <w:p w:rsidR="00840AAC" w:rsidRPr="00A64123" w:rsidRDefault="00840AAC" w:rsidP="000E28F2">
      <w:pPr>
        <w:spacing w:line="360" w:lineRule="auto"/>
        <w:ind w:firstLine="1134"/>
        <w:jc w:val="both"/>
        <w:rPr>
          <w:rFonts w:ascii="Arial" w:hAnsi="Arial" w:cs="Arial"/>
          <w:sz w:val="24"/>
          <w:szCs w:val="24"/>
        </w:rPr>
      </w:pPr>
    </w:p>
    <w:p w:rsidR="000E28F2" w:rsidRPr="00A64123" w:rsidRDefault="00775781" w:rsidP="00775781">
      <w:pPr>
        <w:spacing w:line="360" w:lineRule="auto"/>
        <w:ind w:firstLine="1134"/>
        <w:jc w:val="both"/>
        <w:rPr>
          <w:sz w:val="24"/>
          <w:szCs w:val="24"/>
        </w:rPr>
      </w:pPr>
      <w:r w:rsidRPr="00A64123">
        <w:rPr>
          <w:rFonts w:ascii="Arial" w:hAnsi="Arial" w:cs="Arial"/>
          <w:sz w:val="24"/>
          <w:szCs w:val="24"/>
        </w:rPr>
        <w:t>No entanto, em que pese o Município de Itaúba – MT não ter Decreto regulamentando o Sistema de Registros de Preços, será utilizado o Decreto Federal n° 7.892/2013 que regulamenta o artigo 15 da Lei Federal 8.666/93.</w:t>
      </w:r>
      <w:r w:rsidR="000E28F2" w:rsidRPr="00A64123">
        <w:rPr>
          <w:rFonts w:ascii="Arial" w:hAnsi="Arial" w:cs="Arial"/>
          <w:sz w:val="24"/>
          <w:szCs w:val="24"/>
        </w:rPr>
        <w:t xml:space="preserve"> </w:t>
      </w:r>
    </w:p>
    <w:p w:rsidR="000E28F2" w:rsidRPr="00A64123" w:rsidRDefault="000E28F2" w:rsidP="000E28F2">
      <w:pPr>
        <w:spacing w:line="360" w:lineRule="auto"/>
        <w:ind w:firstLine="1077"/>
        <w:jc w:val="both"/>
        <w:rPr>
          <w:rFonts w:ascii="Arial" w:hAnsi="Arial" w:cs="Arial"/>
          <w:sz w:val="24"/>
          <w:szCs w:val="24"/>
        </w:rPr>
      </w:pPr>
    </w:p>
    <w:p w:rsidR="000E28F2" w:rsidRPr="00A64123" w:rsidRDefault="000E28F2" w:rsidP="000E28F2">
      <w:pPr>
        <w:spacing w:line="360" w:lineRule="auto"/>
        <w:ind w:firstLine="1077"/>
        <w:jc w:val="both"/>
        <w:rPr>
          <w:rFonts w:ascii="Arial" w:hAnsi="Arial" w:cs="Arial"/>
          <w:color w:val="000000"/>
          <w:sz w:val="24"/>
          <w:szCs w:val="24"/>
        </w:rPr>
      </w:pPr>
      <w:r w:rsidRPr="00A64123">
        <w:rPr>
          <w:rFonts w:ascii="Arial" w:hAnsi="Arial" w:cs="Arial"/>
          <w:color w:val="000000"/>
          <w:sz w:val="24"/>
          <w:szCs w:val="24"/>
        </w:rPr>
        <w:t>Voltando-se, então, olhar atento ao que nos preconiza</w:t>
      </w:r>
      <w:r w:rsidR="00775781" w:rsidRPr="00A64123">
        <w:rPr>
          <w:rFonts w:ascii="Arial" w:hAnsi="Arial" w:cs="Arial"/>
          <w:color w:val="000000"/>
          <w:sz w:val="24"/>
          <w:szCs w:val="24"/>
        </w:rPr>
        <w:t xml:space="preserve"> o Decreto Federal 7.892/2013</w:t>
      </w:r>
      <w:r w:rsidRPr="00A64123">
        <w:rPr>
          <w:rFonts w:ascii="Arial" w:hAnsi="Arial" w:cs="Arial"/>
          <w:color w:val="000000"/>
          <w:sz w:val="24"/>
          <w:szCs w:val="24"/>
        </w:rPr>
        <w:t xml:space="preserve"> é de se concluir que restaram preenchidos todos os requisitos necessários, no caso vertente, para a utilização do Registro de preços, uma vez que:</w:t>
      </w:r>
    </w:p>
    <w:p w:rsidR="00775781" w:rsidRPr="00A64123" w:rsidRDefault="00775781" w:rsidP="000E28F2">
      <w:pPr>
        <w:spacing w:line="360" w:lineRule="auto"/>
        <w:ind w:firstLine="1077"/>
        <w:jc w:val="both"/>
        <w:rPr>
          <w:rFonts w:ascii="Arial" w:hAnsi="Arial" w:cs="Arial"/>
          <w:color w:val="000000"/>
          <w:sz w:val="24"/>
          <w:szCs w:val="24"/>
        </w:rPr>
      </w:pPr>
    </w:p>
    <w:p w:rsidR="000E28F2" w:rsidRPr="00A64123" w:rsidRDefault="000E28F2" w:rsidP="000E28F2">
      <w:pPr>
        <w:spacing w:line="360" w:lineRule="auto"/>
        <w:ind w:firstLine="1077"/>
        <w:jc w:val="both"/>
        <w:rPr>
          <w:rFonts w:ascii="Arial" w:hAnsi="Arial" w:cs="Arial"/>
          <w:color w:val="000000"/>
          <w:sz w:val="24"/>
          <w:szCs w:val="24"/>
        </w:rPr>
      </w:pPr>
      <w:r w:rsidRPr="00A64123">
        <w:rPr>
          <w:rFonts w:ascii="Arial" w:hAnsi="Arial" w:cs="Arial"/>
          <w:color w:val="000000"/>
          <w:sz w:val="24"/>
          <w:szCs w:val="24"/>
        </w:rPr>
        <w:t xml:space="preserve">a) o Edital previu os elementos constantes no art. 9º do Decreto nº. </w:t>
      </w:r>
      <w:r w:rsidR="002D28AA" w:rsidRPr="00A64123">
        <w:rPr>
          <w:rFonts w:ascii="Arial" w:hAnsi="Arial" w:cs="Arial"/>
          <w:color w:val="000000"/>
          <w:sz w:val="24"/>
          <w:szCs w:val="24"/>
        </w:rPr>
        <w:t>7.892</w:t>
      </w:r>
      <w:r w:rsidRPr="00A64123">
        <w:rPr>
          <w:rFonts w:ascii="Arial" w:hAnsi="Arial" w:cs="Arial"/>
          <w:color w:val="000000"/>
          <w:sz w:val="24"/>
          <w:szCs w:val="24"/>
        </w:rPr>
        <w:t>/20</w:t>
      </w:r>
      <w:r w:rsidR="002D28AA" w:rsidRPr="00A64123">
        <w:rPr>
          <w:rFonts w:ascii="Arial" w:hAnsi="Arial" w:cs="Arial"/>
          <w:color w:val="000000"/>
          <w:sz w:val="24"/>
          <w:szCs w:val="24"/>
        </w:rPr>
        <w:t>13</w:t>
      </w:r>
      <w:r w:rsidRPr="00A64123">
        <w:rPr>
          <w:rFonts w:ascii="Arial" w:hAnsi="Arial" w:cs="Arial"/>
          <w:color w:val="000000"/>
          <w:sz w:val="24"/>
          <w:szCs w:val="24"/>
        </w:rPr>
        <w:t>;</w:t>
      </w:r>
    </w:p>
    <w:p w:rsidR="000E28F2" w:rsidRPr="00A64123" w:rsidRDefault="000E28F2" w:rsidP="000E28F2">
      <w:pPr>
        <w:spacing w:line="360" w:lineRule="auto"/>
        <w:ind w:firstLine="1077"/>
        <w:jc w:val="both"/>
        <w:rPr>
          <w:rFonts w:ascii="Arial" w:hAnsi="Arial" w:cs="Arial"/>
          <w:color w:val="000000"/>
          <w:sz w:val="24"/>
          <w:szCs w:val="24"/>
        </w:rPr>
      </w:pPr>
    </w:p>
    <w:p w:rsidR="000E28F2" w:rsidRPr="00A64123" w:rsidRDefault="000E28F2" w:rsidP="000E28F2">
      <w:pPr>
        <w:spacing w:line="360" w:lineRule="auto"/>
        <w:ind w:firstLine="1077"/>
        <w:jc w:val="both"/>
        <w:rPr>
          <w:rFonts w:ascii="Arial" w:hAnsi="Arial" w:cs="Arial"/>
          <w:color w:val="000000"/>
          <w:sz w:val="24"/>
          <w:szCs w:val="24"/>
        </w:rPr>
      </w:pPr>
      <w:r w:rsidRPr="00A64123">
        <w:rPr>
          <w:rFonts w:ascii="Arial" w:hAnsi="Arial" w:cs="Arial"/>
          <w:color w:val="000000"/>
          <w:sz w:val="24"/>
          <w:szCs w:val="24"/>
        </w:rPr>
        <w:t>b) o critério adotado para julgamentos encontra-se de acordo com o previsto pelo 7º do De</w:t>
      </w:r>
      <w:r w:rsidR="002D28AA" w:rsidRPr="00A64123">
        <w:rPr>
          <w:rFonts w:ascii="Arial" w:hAnsi="Arial" w:cs="Arial"/>
          <w:color w:val="000000"/>
          <w:sz w:val="24"/>
          <w:szCs w:val="24"/>
        </w:rPr>
        <w:t>creto Feder</w:t>
      </w:r>
      <w:r w:rsidRPr="00A64123">
        <w:rPr>
          <w:rFonts w:ascii="Arial" w:hAnsi="Arial" w:cs="Arial"/>
          <w:color w:val="000000"/>
          <w:sz w:val="24"/>
          <w:szCs w:val="24"/>
        </w:rPr>
        <w:t xml:space="preserve">al nº </w:t>
      </w:r>
      <w:r w:rsidR="002D28AA" w:rsidRPr="00A64123">
        <w:rPr>
          <w:rFonts w:ascii="Arial" w:hAnsi="Arial" w:cs="Arial"/>
          <w:color w:val="000000"/>
          <w:sz w:val="24"/>
          <w:szCs w:val="24"/>
        </w:rPr>
        <w:t>7.892/2013</w:t>
      </w:r>
      <w:r w:rsidRPr="00A64123">
        <w:rPr>
          <w:rFonts w:ascii="Arial" w:hAnsi="Arial" w:cs="Arial"/>
          <w:color w:val="000000"/>
          <w:sz w:val="24"/>
          <w:szCs w:val="24"/>
        </w:rPr>
        <w:t xml:space="preserve">; </w:t>
      </w:r>
    </w:p>
    <w:p w:rsidR="000E28F2" w:rsidRPr="00A64123" w:rsidRDefault="000E28F2" w:rsidP="000E28F2">
      <w:pPr>
        <w:spacing w:line="360" w:lineRule="auto"/>
        <w:ind w:firstLine="1077"/>
        <w:jc w:val="both"/>
        <w:rPr>
          <w:rFonts w:ascii="Arial" w:hAnsi="Arial" w:cs="Arial"/>
          <w:color w:val="000000"/>
          <w:sz w:val="24"/>
          <w:szCs w:val="24"/>
        </w:rPr>
      </w:pPr>
    </w:p>
    <w:p w:rsidR="000E28F2" w:rsidRPr="00A64123" w:rsidRDefault="000E28F2" w:rsidP="000E28F2">
      <w:pPr>
        <w:spacing w:line="360" w:lineRule="auto"/>
        <w:ind w:firstLine="1077"/>
        <w:jc w:val="both"/>
        <w:rPr>
          <w:rFonts w:ascii="Arial" w:hAnsi="Arial" w:cs="Arial"/>
          <w:color w:val="000000"/>
          <w:sz w:val="24"/>
          <w:szCs w:val="24"/>
        </w:rPr>
      </w:pPr>
      <w:r w:rsidRPr="00A64123">
        <w:rPr>
          <w:rFonts w:ascii="Arial" w:hAnsi="Arial" w:cs="Arial"/>
          <w:color w:val="000000"/>
          <w:sz w:val="24"/>
          <w:szCs w:val="24"/>
        </w:rPr>
        <w:t xml:space="preserve">c) o prazo estipulado para o registro de preços não ultrapassa 12 (doze) meses (artigo 12 do Decreto </w:t>
      </w:r>
      <w:r w:rsidR="002D28AA" w:rsidRPr="00A64123">
        <w:rPr>
          <w:rFonts w:ascii="Arial" w:hAnsi="Arial" w:cs="Arial"/>
          <w:color w:val="000000"/>
          <w:sz w:val="24"/>
          <w:szCs w:val="24"/>
        </w:rPr>
        <w:t>Federal n° 7.892/2013;</w:t>
      </w:r>
      <w:r w:rsidRPr="00A64123">
        <w:rPr>
          <w:rFonts w:ascii="Arial" w:hAnsi="Arial" w:cs="Arial"/>
          <w:color w:val="000000"/>
          <w:sz w:val="24"/>
          <w:szCs w:val="24"/>
        </w:rPr>
        <w:t xml:space="preserve"> </w:t>
      </w:r>
    </w:p>
    <w:p w:rsidR="000E28F2" w:rsidRPr="00A64123" w:rsidRDefault="000E28F2" w:rsidP="000E28F2">
      <w:pPr>
        <w:spacing w:line="360" w:lineRule="auto"/>
        <w:ind w:firstLine="1077"/>
        <w:jc w:val="both"/>
        <w:rPr>
          <w:rFonts w:ascii="Arial" w:hAnsi="Arial" w:cs="Arial"/>
          <w:color w:val="000000"/>
          <w:sz w:val="24"/>
          <w:szCs w:val="24"/>
        </w:rPr>
      </w:pPr>
    </w:p>
    <w:p w:rsidR="000E28F2" w:rsidRPr="00A64123" w:rsidRDefault="000E28F2" w:rsidP="000E28F2">
      <w:pPr>
        <w:spacing w:line="360" w:lineRule="auto"/>
        <w:ind w:firstLine="1077"/>
        <w:jc w:val="both"/>
        <w:rPr>
          <w:rFonts w:ascii="Arial" w:hAnsi="Arial" w:cs="Arial"/>
          <w:color w:val="000000"/>
          <w:sz w:val="24"/>
          <w:szCs w:val="24"/>
        </w:rPr>
      </w:pPr>
      <w:r w:rsidRPr="00A64123">
        <w:rPr>
          <w:rFonts w:ascii="Arial" w:hAnsi="Arial" w:cs="Arial"/>
          <w:color w:val="000000"/>
          <w:sz w:val="24"/>
          <w:szCs w:val="24"/>
        </w:rPr>
        <w:t xml:space="preserve">d) previram-se os casos de cancelamento da Ata </w:t>
      </w:r>
      <w:r w:rsidR="002D28AA" w:rsidRPr="00A64123">
        <w:rPr>
          <w:rFonts w:ascii="Arial" w:hAnsi="Arial" w:cs="Arial"/>
          <w:color w:val="000000"/>
          <w:sz w:val="24"/>
          <w:szCs w:val="24"/>
        </w:rPr>
        <w:t>(art. 20 e 21 do Decreto Feder</w:t>
      </w:r>
      <w:r w:rsidRPr="00A64123">
        <w:rPr>
          <w:rFonts w:ascii="Arial" w:hAnsi="Arial" w:cs="Arial"/>
          <w:color w:val="000000"/>
          <w:sz w:val="24"/>
          <w:szCs w:val="24"/>
        </w:rPr>
        <w:t xml:space="preserve">al nº </w:t>
      </w:r>
      <w:r w:rsidR="002D28AA" w:rsidRPr="00A64123">
        <w:rPr>
          <w:rFonts w:ascii="Arial" w:hAnsi="Arial" w:cs="Arial"/>
          <w:color w:val="000000"/>
          <w:sz w:val="24"/>
          <w:szCs w:val="24"/>
        </w:rPr>
        <w:t>7.892/2013</w:t>
      </w:r>
      <w:r w:rsidRPr="00A64123">
        <w:rPr>
          <w:rFonts w:ascii="Arial" w:hAnsi="Arial" w:cs="Arial"/>
          <w:color w:val="000000"/>
          <w:sz w:val="24"/>
          <w:szCs w:val="24"/>
        </w:rPr>
        <w:t>);</w:t>
      </w:r>
    </w:p>
    <w:p w:rsidR="000E28F2" w:rsidRPr="00A64123" w:rsidRDefault="000E28F2" w:rsidP="000E28F2">
      <w:pPr>
        <w:spacing w:line="360" w:lineRule="auto"/>
        <w:ind w:firstLine="1077"/>
        <w:jc w:val="both"/>
        <w:rPr>
          <w:rFonts w:ascii="Arial" w:hAnsi="Arial" w:cs="Arial"/>
          <w:color w:val="000000"/>
          <w:sz w:val="24"/>
          <w:szCs w:val="24"/>
        </w:rPr>
      </w:pPr>
    </w:p>
    <w:p w:rsidR="000E28F2" w:rsidRPr="00A64123" w:rsidRDefault="000E28F2" w:rsidP="000E28F2">
      <w:pPr>
        <w:spacing w:line="360" w:lineRule="auto"/>
        <w:ind w:firstLine="1077"/>
        <w:jc w:val="both"/>
        <w:rPr>
          <w:rFonts w:ascii="Arial" w:hAnsi="Arial" w:cs="Arial"/>
          <w:color w:val="000000"/>
          <w:sz w:val="24"/>
          <w:szCs w:val="24"/>
        </w:rPr>
      </w:pPr>
      <w:r w:rsidRPr="00A64123">
        <w:rPr>
          <w:rFonts w:ascii="Arial" w:hAnsi="Arial" w:cs="Arial"/>
          <w:color w:val="000000"/>
          <w:sz w:val="24"/>
          <w:szCs w:val="24"/>
        </w:rPr>
        <w:t>e) foram estabelecidos os critérios para reajustamento</w:t>
      </w:r>
      <w:r w:rsidR="00840AAC" w:rsidRPr="00A64123">
        <w:rPr>
          <w:rFonts w:ascii="Arial" w:hAnsi="Arial" w:cs="Arial"/>
          <w:color w:val="000000"/>
          <w:sz w:val="24"/>
          <w:szCs w:val="24"/>
        </w:rPr>
        <w:t>/revisão</w:t>
      </w:r>
      <w:r w:rsidRPr="00A64123">
        <w:rPr>
          <w:rFonts w:ascii="Arial" w:hAnsi="Arial" w:cs="Arial"/>
          <w:color w:val="000000"/>
          <w:sz w:val="24"/>
          <w:szCs w:val="24"/>
        </w:rPr>
        <w:t xml:space="preserve"> dos preços registrados </w:t>
      </w:r>
      <w:r w:rsidR="002D28AA" w:rsidRPr="00A64123">
        <w:rPr>
          <w:rFonts w:ascii="Arial" w:hAnsi="Arial" w:cs="Arial"/>
          <w:color w:val="000000"/>
          <w:sz w:val="24"/>
          <w:szCs w:val="24"/>
        </w:rPr>
        <w:t>(art. 17 a 19 do Decreto Feder</w:t>
      </w:r>
      <w:r w:rsidRPr="00A64123">
        <w:rPr>
          <w:rFonts w:ascii="Arial" w:hAnsi="Arial" w:cs="Arial"/>
          <w:color w:val="000000"/>
          <w:sz w:val="24"/>
          <w:szCs w:val="24"/>
        </w:rPr>
        <w:t xml:space="preserve">al nº </w:t>
      </w:r>
      <w:r w:rsidR="002D28AA" w:rsidRPr="00A64123">
        <w:rPr>
          <w:rFonts w:ascii="Arial" w:hAnsi="Arial" w:cs="Arial"/>
          <w:color w:val="000000"/>
          <w:sz w:val="24"/>
          <w:szCs w:val="24"/>
        </w:rPr>
        <w:t>7.892/2013</w:t>
      </w:r>
      <w:r w:rsidRPr="00A64123">
        <w:rPr>
          <w:rFonts w:ascii="Arial" w:hAnsi="Arial" w:cs="Arial"/>
          <w:color w:val="000000"/>
          <w:sz w:val="24"/>
          <w:szCs w:val="24"/>
        </w:rPr>
        <w:t>);</w:t>
      </w:r>
    </w:p>
    <w:p w:rsidR="000E28F2" w:rsidRPr="00A64123" w:rsidRDefault="000E28F2" w:rsidP="000E28F2">
      <w:pPr>
        <w:spacing w:line="360" w:lineRule="auto"/>
        <w:ind w:firstLine="1077"/>
        <w:jc w:val="both"/>
        <w:rPr>
          <w:rFonts w:ascii="Arial" w:hAnsi="Arial" w:cs="Arial"/>
          <w:color w:val="000000"/>
          <w:sz w:val="24"/>
          <w:szCs w:val="24"/>
        </w:rPr>
      </w:pPr>
    </w:p>
    <w:p w:rsidR="000E28F2" w:rsidRPr="00A64123" w:rsidRDefault="000E28F2" w:rsidP="000E28F2">
      <w:pPr>
        <w:spacing w:line="360" w:lineRule="auto"/>
        <w:ind w:firstLine="1077"/>
        <w:jc w:val="both"/>
        <w:rPr>
          <w:sz w:val="24"/>
          <w:szCs w:val="24"/>
        </w:rPr>
      </w:pPr>
      <w:r w:rsidRPr="00A64123">
        <w:rPr>
          <w:rFonts w:ascii="Arial" w:hAnsi="Arial" w:cs="Arial"/>
          <w:color w:val="000000"/>
          <w:sz w:val="24"/>
          <w:szCs w:val="24"/>
        </w:rPr>
        <w:t>e) foram previstas as condições em que será possível a adesão da ata por outros órgãos e entidades interessadas, como previsto</w:t>
      </w:r>
      <w:r w:rsidR="002D28AA" w:rsidRPr="00A64123">
        <w:rPr>
          <w:rFonts w:ascii="Arial" w:hAnsi="Arial" w:cs="Arial"/>
          <w:color w:val="000000"/>
          <w:sz w:val="24"/>
          <w:szCs w:val="24"/>
        </w:rPr>
        <w:t xml:space="preserve"> pelo art. 22 do Decreto Federa</w:t>
      </w:r>
      <w:r w:rsidRPr="00A64123">
        <w:rPr>
          <w:rFonts w:ascii="Arial" w:hAnsi="Arial" w:cs="Arial"/>
          <w:color w:val="000000"/>
          <w:sz w:val="24"/>
          <w:szCs w:val="24"/>
        </w:rPr>
        <w:t xml:space="preserve">l nº. </w:t>
      </w:r>
      <w:r w:rsidR="002D28AA" w:rsidRPr="00A64123">
        <w:rPr>
          <w:rFonts w:ascii="Arial" w:hAnsi="Arial" w:cs="Arial"/>
          <w:color w:val="000000"/>
          <w:sz w:val="24"/>
          <w:szCs w:val="24"/>
        </w:rPr>
        <w:t>7.892/2013</w:t>
      </w:r>
      <w:r w:rsidRPr="00A64123">
        <w:rPr>
          <w:rFonts w:ascii="Arial" w:hAnsi="Arial" w:cs="Arial"/>
          <w:color w:val="000000"/>
          <w:sz w:val="24"/>
          <w:szCs w:val="24"/>
        </w:rPr>
        <w:t>.</w:t>
      </w:r>
    </w:p>
    <w:p w:rsidR="000E28F2" w:rsidRPr="00A64123" w:rsidRDefault="000E28F2" w:rsidP="000E28F2">
      <w:pPr>
        <w:spacing w:line="360" w:lineRule="auto"/>
        <w:ind w:firstLine="1134"/>
        <w:jc w:val="both"/>
        <w:rPr>
          <w:rFonts w:ascii="Arial" w:hAnsi="Arial" w:cs="Arial"/>
          <w:sz w:val="24"/>
          <w:szCs w:val="24"/>
        </w:rPr>
      </w:pPr>
    </w:p>
    <w:p w:rsidR="000E28F2" w:rsidRPr="00A64123" w:rsidRDefault="000E28F2" w:rsidP="000E28F2">
      <w:pPr>
        <w:spacing w:line="360" w:lineRule="auto"/>
        <w:ind w:firstLine="1134"/>
        <w:jc w:val="both"/>
        <w:rPr>
          <w:rFonts w:ascii="Arial" w:hAnsi="Arial" w:cs="Arial"/>
          <w:sz w:val="24"/>
          <w:szCs w:val="24"/>
        </w:rPr>
      </w:pPr>
      <w:r w:rsidRPr="00A64123">
        <w:rPr>
          <w:rFonts w:ascii="Arial" w:hAnsi="Arial" w:cs="Arial"/>
          <w:sz w:val="24"/>
          <w:szCs w:val="24"/>
        </w:rPr>
        <w:t>No que se refere à utilização do Registro de Preços em si, o TCU entabula em seu Acórdão nº. 2197/2015 – Plenário que “a</w:t>
      </w:r>
      <w:r w:rsidRPr="00A64123">
        <w:rPr>
          <w:rFonts w:ascii="Arial" w:hAnsi="Arial" w:cs="Arial"/>
          <w:i/>
          <w:sz w:val="24"/>
          <w:szCs w:val="24"/>
        </w:rPr>
        <w:t xml:space="preserve"> utilização do Sistema de Registro de Preços é adequada em situações em que a demanda é incerta, seja em relação a sua ocorrência, seja no que concerne à quantidade de bens a ser demandada</w:t>
      </w:r>
      <w:r w:rsidRPr="00A64123">
        <w:rPr>
          <w:rFonts w:ascii="Arial" w:hAnsi="Arial" w:cs="Arial"/>
          <w:sz w:val="24"/>
          <w:szCs w:val="24"/>
        </w:rPr>
        <w:t>”.</w:t>
      </w:r>
    </w:p>
    <w:p w:rsidR="000E28F2" w:rsidRPr="00A64123" w:rsidRDefault="000E28F2" w:rsidP="000E28F2">
      <w:pPr>
        <w:spacing w:line="360" w:lineRule="auto"/>
        <w:ind w:firstLine="1134"/>
        <w:jc w:val="both"/>
        <w:rPr>
          <w:rFonts w:ascii="Arial" w:hAnsi="Arial" w:cs="Arial"/>
          <w:sz w:val="24"/>
          <w:szCs w:val="24"/>
        </w:rPr>
      </w:pPr>
    </w:p>
    <w:p w:rsidR="000E28F2" w:rsidRPr="00A64123" w:rsidRDefault="000E28F2" w:rsidP="000E28F2">
      <w:pPr>
        <w:spacing w:line="360" w:lineRule="auto"/>
        <w:ind w:firstLine="1134"/>
        <w:jc w:val="both"/>
        <w:rPr>
          <w:rFonts w:ascii="Arial" w:hAnsi="Arial" w:cs="Arial"/>
          <w:color w:val="000000"/>
          <w:sz w:val="24"/>
          <w:szCs w:val="24"/>
        </w:rPr>
      </w:pPr>
      <w:r w:rsidRPr="00A64123">
        <w:rPr>
          <w:rFonts w:ascii="Arial" w:hAnsi="Arial" w:cs="Arial"/>
          <w:color w:val="000000"/>
          <w:sz w:val="24"/>
          <w:szCs w:val="24"/>
        </w:rPr>
        <w:t xml:space="preserve">Ademais, o artigo 3º do Decreto </w:t>
      </w:r>
      <w:r w:rsidR="00840AAC" w:rsidRPr="00A64123">
        <w:rPr>
          <w:rFonts w:ascii="Arial" w:hAnsi="Arial" w:cs="Arial"/>
          <w:color w:val="000000"/>
          <w:sz w:val="24"/>
          <w:szCs w:val="24"/>
        </w:rPr>
        <w:t xml:space="preserve">Federal </w:t>
      </w:r>
      <w:r w:rsidRPr="00A64123">
        <w:rPr>
          <w:rFonts w:ascii="Arial" w:hAnsi="Arial" w:cs="Arial"/>
          <w:color w:val="000000"/>
          <w:sz w:val="24"/>
          <w:szCs w:val="24"/>
        </w:rPr>
        <w:t xml:space="preserve">nº </w:t>
      </w:r>
      <w:r w:rsidR="00840AAC" w:rsidRPr="00A64123">
        <w:rPr>
          <w:rFonts w:ascii="Arial" w:hAnsi="Arial" w:cs="Arial"/>
          <w:color w:val="000000"/>
          <w:sz w:val="24"/>
          <w:szCs w:val="24"/>
        </w:rPr>
        <w:t>7.892/2013</w:t>
      </w:r>
      <w:r w:rsidRPr="00A64123">
        <w:rPr>
          <w:rFonts w:ascii="Arial" w:hAnsi="Arial" w:cs="Arial"/>
          <w:color w:val="000000"/>
          <w:sz w:val="24"/>
          <w:szCs w:val="24"/>
        </w:rPr>
        <w:t xml:space="preserve"> enumera nos incisos I a IV, as situações nas quais poderá ser adotado Sistema de Registro de Preços. Senão vejamos: </w:t>
      </w:r>
    </w:p>
    <w:p w:rsidR="000E28F2" w:rsidRPr="00A64123" w:rsidRDefault="000E28F2" w:rsidP="000E28F2">
      <w:pPr>
        <w:spacing w:line="360" w:lineRule="auto"/>
        <w:ind w:firstLine="1134"/>
        <w:jc w:val="both"/>
        <w:rPr>
          <w:rFonts w:ascii="Arial" w:hAnsi="Arial" w:cs="Arial"/>
          <w:color w:val="000000"/>
          <w:sz w:val="24"/>
          <w:szCs w:val="24"/>
        </w:rPr>
      </w:pPr>
    </w:p>
    <w:p w:rsidR="000E28F2" w:rsidRPr="00A64123" w:rsidRDefault="000E28F2" w:rsidP="000E28F2">
      <w:pPr>
        <w:ind w:left="2268"/>
        <w:jc w:val="both"/>
        <w:rPr>
          <w:rFonts w:ascii="Arial" w:hAnsi="Arial" w:cs="Arial"/>
          <w:sz w:val="24"/>
          <w:szCs w:val="24"/>
        </w:rPr>
      </w:pPr>
      <w:r w:rsidRPr="00A64123">
        <w:rPr>
          <w:rFonts w:ascii="Arial" w:hAnsi="Arial" w:cs="Arial"/>
          <w:sz w:val="24"/>
          <w:szCs w:val="24"/>
          <w:shd w:val="clear" w:color="auto" w:fill="FFFFFF"/>
        </w:rPr>
        <w:t>Art. 3º. O Sistema de </w:t>
      </w:r>
      <w:r w:rsidRPr="00A64123">
        <w:rPr>
          <w:rFonts w:ascii="Arial" w:hAnsi="Arial" w:cs="Arial"/>
          <w:sz w:val="24"/>
          <w:szCs w:val="24"/>
        </w:rPr>
        <w:t>Registro</w:t>
      </w:r>
      <w:r w:rsidRPr="00A64123">
        <w:rPr>
          <w:rFonts w:ascii="Arial" w:hAnsi="Arial" w:cs="Arial"/>
          <w:sz w:val="24"/>
          <w:szCs w:val="24"/>
          <w:shd w:val="clear" w:color="auto" w:fill="FFFFFF"/>
        </w:rPr>
        <w:t> de </w:t>
      </w:r>
      <w:r w:rsidRPr="00A64123">
        <w:rPr>
          <w:rFonts w:ascii="Arial" w:hAnsi="Arial" w:cs="Arial"/>
          <w:sz w:val="24"/>
          <w:szCs w:val="24"/>
        </w:rPr>
        <w:t>Preços</w:t>
      </w:r>
      <w:r w:rsidRPr="00A64123">
        <w:rPr>
          <w:rFonts w:ascii="Arial" w:hAnsi="Arial" w:cs="Arial"/>
          <w:sz w:val="24"/>
          <w:szCs w:val="24"/>
          <w:shd w:val="clear" w:color="auto" w:fill="FFFFFF"/>
        </w:rPr>
        <w:t> poderá ser adotado nas seguintes hipóteses:</w:t>
      </w:r>
    </w:p>
    <w:p w:rsidR="000E28F2" w:rsidRPr="00A64123" w:rsidRDefault="000E28F2" w:rsidP="000E28F2">
      <w:pPr>
        <w:ind w:left="2268"/>
        <w:jc w:val="both"/>
        <w:rPr>
          <w:rFonts w:ascii="Arial" w:hAnsi="Arial" w:cs="Arial"/>
          <w:sz w:val="24"/>
          <w:szCs w:val="24"/>
        </w:rPr>
      </w:pPr>
      <w:r w:rsidRPr="00A64123">
        <w:rPr>
          <w:rFonts w:ascii="Arial" w:hAnsi="Arial" w:cs="Arial"/>
          <w:sz w:val="24"/>
          <w:szCs w:val="24"/>
        </w:rPr>
        <w:br/>
      </w:r>
      <w:r w:rsidRPr="00A64123">
        <w:rPr>
          <w:rFonts w:ascii="Arial" w:hAnsi="Arial" w:cs="Arial"/>
          <w:sz w:val="24"/>
          <w:szCs w:val="24"/>
          <w:shd w:val="clear" w:color="auto" w:fill="FFFFFF"/>
        </w:rPr>
        <w:t xml:space="preserve">I - </w:t>
      </w:r>
      <w:proofErr w:type="gramStart"/>
      <w:r w:rsidRPr="00A64123">
        <w:rPr>
          <w:rFonts w:ascii="Arial" w:hAnsi="Arial" w:cs="Arial"/>
          <w:sz w:val="24"/>
          <w:szCs w:val="24"/>
          <w:shd w:val="clear" w:color="auto" w:fill="FFFFFF"/>
        </w:rPr>
        <w:t>quando</w:t>
      </w:r>
      <w:proofErr w:type="gramEnd"/>
      <w:r w:rsidRPr="00A64123">
        <w:rPr>
          <w:rFonts w:ascii="Arial" w:hAnsi="Arial" w:cs="Arial"/>
          <w:sz w:val="24"/>
          <w:szCs w:val="24"/>
          <w:shd w:val="clear" w:color="auto" w:fill="FFFFFF"/>
        </w:rPr>
        <w:t>, pelas características do bem ou serviço, houver necessidade de contratações frequentes;</w:t>
      </w:r>
    </w:p>
    <w:p w:rsidR="000E28F2" w:rsidRPr="00A64123" w:rsidRDefault="000E28F2" w:rsidP="000E28F2">
      <w:pPr>
        <w:ind w:left="2268"/>
        <w:jc w:val="both"/>
        <w:rPr>
          <w:rFonts w:ascii="Arial" w:hAnsi="Arial" w:cs="Arial"/>
          <w:sz w:val="24"/>
          <w:szCs w:val="24"/>
        </w:rPr>
      </w:pPr>
      <w:r w:rsidRPr="00A64123">
        <w:rPr>
          <w:rFonts w:ascii="Arial" w:hAnsi="Arial" w:cs="Arial"/>
          <w:sz w:val="24"/>
          <w:szCs w:val="24"/>
        </w:rPr>
        <w:br/>
      </w:r>
      <w:r w:rsidRPr="00A64123">
        <w:rPr>
          <w:rFonts w:ascii="Arial" w:hAnsi="Arial" w:cs="Arial"/>
          <w:sz w:val="24"/>
          <w:szCs w:val="24"/>
          <w:shd w:val="clear" w:color="auto" w:fill="FFFFFF"/>
        </w:rPr>
        <w:t xml:space="preserve">II - quando for conveniente a aquisição de bens com previsão de entregas parceladas ou contratação de serviços remunerados por unidade de medida ou em regime de </w:t>
      </w:r>
      <w:proofErr w:type="gramStart"/>
      <w:r w:rsidRPr="00A64123">
        <w:rPr>
          <w:rFonts w:ascii="Arial" w:hAnsi="Arial" w:cs="Arial"/>
          <w:sz w:val="24"/>
          <w:szCs w:val="24"/>
          <w:shd w:val="clear" w:color="auto" w:fill="FFFFFF"/>
        </w:rPr>
        <w:t>tarefa;</w:t>
      </w:r>
      <w:r w:rsidRPr="00A64123">
        <w:rPr>
          <w:rFonts w:ascii="Arial" w:hAnsi="Arial" w:cs="Arial"/>
          <w:sz w:val="24"/>
          <w:szCs w:val="24"/>
        </w:rPr>
        <w:br/>
      </w:r>
      <w:r w:rsidRPr="00A64123">
        <w:rPr>
          <w:rFonts w:ascii="Arial" w:hAnsi="Arial" w:cs="Arial"/>
          <w:sz w:val="24"/>
          <w:szCs w:val="24"/>
        </w:rPr>
        <w:br/>
      </w:r>
      <w:r w:rsidRPr="00A64123">
        <w:rPr>
          <w:rFonts w:ascii="Arial" w:hAnsi="Arial" w:cs="Arial"/>
          <w:sz w:val="24"/>
          <w:szCs w:val="24"/>
          <w:shd w:val="clear" w:color="auto" w:fill="FFFFFF"/>
        </w:rPr>
        <w:t>III</w:t>
      </w:r>
      <w:proofErr w:type="gramEnd"/>
      <w:r w:rsidRPr="00A64123">
        <w:rPr>
          <w:rFonts w:ascii="Arial" w:hAnsi="Arial" w:cs="Arial"/>
          <w:sz w:val="24"/>
          <w:szCs w:val="24"/>
          <w:shd w:val="clear" w:color="auto" w:fill="FFFFFF"/>
        </w:rPr>
        <w:t xml:space="preserve"> - quando for conveniente a aquisição de bens ou a contratação de serviços para atendimento a mais de um órgão ou entidade, ou a programas de governo;</w:t>
      </w:r>
      <w:r w:rsidRPr="00A64123">
        <w:rPr>
          <w:rFonts w:ascii="Arial" w:hAnsi="Arial" w:cs="Arial"/>
          <w:sz w:val="24"/>
          <w:szCs w:val="24"/>
        </w:rPr>
        <w:br/>
      </w:r>
      <w:r w:rsidRPr="00A64123">
        <w:rPr>
          <w:rFonts w:ascii="Arial" w:hAnsi="Arial" w:cs="Arial"/>
          <w:sz w:val="24"/>
          <w:szCs w:val="24"/>
        </w:rPr>
        <w:br/>
      </w:r>
      <w:r w:rsidRPr="00A64123">
        <w:rPr>
          <w:rFonts w:ascii="Arial" w:hAnsi="Arial" w:cs="Arial"/>
          <w:sz w:val="24"/>
          <w:szCs w:val="24"/>
          <w:shd w:val="clear" w:color="auto" w:fill="FFFFFF"/>
        </w:rPr>
        <w:t>IV - quando, pela natureza do objeto, não for possível definir previamente o quantitativo a ser demandado pela Administração.</w:t>
      </w:r>
    </w:p>
    <w:p w:rsidR="000E28F2" w:rsidRPr="00A64123" w:rsidRDefault="000E28F2" w:rsidP="000E28F2">
      <w:pPr>
        <w:spacing w:line="360" w:lineRule="auto"/>
        <w:ind w:firstLine="1134"/>
        <w:jc w:val="both"/>
        <w:rPr>
          <w:rFonts w:ascii="Arial" w:hAnsi="Arial" w:cs="Arial"/>
          <w:color w:val="000000"/>
          <w:sz w:val="24"/>
          <w:szCs w:val="24"/>
        </w:rPr>
      </w:pPr>
    </w:p>
    <w:p w:rsidR="000E28F2" w:rsidRPr="00A64123" w:rsidRDefault="000E28F2" w:rsidP="000E28F2">
      <w:pPr>
        <w:spacing w:line="360" w:lineRule="auto"/>
        <w:ind w:firstLine="1134"/>
        <w:jc w:val="both"/>
        <w:rPr>
          <w:rFonts w:ascii="Arial" w:hAnsi="Arial" w:cs="Arial"/>
          <w:color w:val="000000"/>
          <w:sz w:val="24"/>
          <w:szCs w:val="24"/>
        </w:rPr>
      </w:pPr>
      <w:r w:rsidRPr="00A64123">
        <w:rPr>
          <w:rFonts w:ascii="Arial" w:hAnsi="Arial" w:cs="Arial"/>
          <w:color w:val="000000"/>
          <w:sz w:val="24"/>
          <w:szCs w:val="24"/>
        </w:rPr>
        <w:t xml:space="preserve">Desse modo, considerando que a (s) secretaria (s) demandante (s) é quem possui (em) o conhecimento específico de como deve se dar a contratação dos bens e/ou serviços que se pretende licitar na fase concreta de sua execução, é essencial que esta se certifique quanto ao enquadramento do objeto licitado em qualquer dos incisos acima </w:t>
      </w:r>
      <w:r w:rsidRPr="00A64123">
        <w:rPr>
          <w:rFonts w:ascii="Arial" w:hAnsi="Arial" w:cs="Arial"/>
          <w:color w:val="000000"/>
          <w:sz w:val="24"/>
          <w:szCs w:val="24"/>
        </w:rPr>
        <w:lastRenderedPageBreak/>
        <w:t xml:space="preserve">listados, sendo certo que, não presente nenhuma das circunstâncias autorizadoras, impossível será a utilização do Registro de Preços para o caso dos autos. </w:t>
      </w:r>
    </w:p>
    <w:p w:rsidR="000E28F2" w:rsidRPr="00A64123" w:rsidRDefault="000E28F2" w:rsidP="000E28F2">
      <w:pPr>
        <w:spacing w:line="360" w:lineRule="auto"/>
        <w:ind w:firstLine="1134"/>
        <w:jc w:val="both"/>
        <w:rPr>
          <w:rFonts w:ascii="Arial" w:hAnsi="Arial" w:cs="Arial"/>
          <w:color w:val="000000"/>
          <w:sz w:val="24"/>
          <w:szCs w:val="24"/>
        </w:rPr>
      </w:pPr>
    </w:p>
    <w:p w:rsidR="000E28F2" w:rsidRPr="00A64123" w:rsidRDefault="000E28F2" w:rsidP="000E28F2">
      <w:pPr>
        <w:spacing w:line="360" w:lineRule="auto"/>
        <w:ind w:firstLine="1134"/>
        <w:jc w:val="both"/>
        <w:rPr>
          <w:rFonts w:ascii="Arial" w:hAnsi="Arial" w:cs="Arial"/>
          <w:color w:val="000000"/>
          <w:sz w:val="24"/>
          <w:szCs w:val="24"/>
        </w:rPr>
      </w:pPr>
      <w:r w:rsidRPr="00A64123">
        <w:rPr>
          <w:rFonts w:ascii="Arial" w:hAnsi="Arial" w:cs="Arial"/>
          <w:color w:val="000000"/>
          <w:sz w:val="24"/>
          <w:szCs w:val="24"/>
        </w:rPr>
        <w:t>Anote-se, ainda, que o TCU já se posicionou quanto aos casos em que a utilização do SRP mostrar-se-á inadequada, manifestando-se em seu Acórdão nº. 1712/2018 – Plenário, que a inadequação restará configurada quando:</w:t>
      </w:r>
    </w:p>
    <w:p w:rsidR="000E28F2" w:rsidRPr="00A64123" w:rsidRDefault="000E28F2" w:rsidP="000E28F2">
      <w:pPr>
        <w:spacing w:line="360" w:lineRule="auto"/>
        <w:ind w:firstLine="1134"/>
        <w:jc w:val="both"/>
        <w:rPr>
          <w:rFonts w:ascii="Arial" w:hAnsi="Arial" w:cs="Arial"/>
          <w:color w:val="000000"/>
          <w:sz w:val="24"/>
          <w:szCs w:val="24"/>
        </w:rPr>
      </w:pPr>
    </w:p>
    <w:p w:rsidR="000E28F2" w:rsidRPr="00A64123" w:rsidRDefault="000E28F2" w:rsidP="000E28F2">
      <w:pPr>
        <w:ind w:left="2268"/>
        <w:jc w:val="both"/>
        <w:rPr>
          <w:rFonts w:ascii="Arial" w:hAnsi="Arial" w:cs="Arial"/>
          <w:i/>
          <w:sz w:val="24"/>
          <w:szCs w:val="24"/>
        </w:rPr>
      </w:pPr>
      <w:r w:rsidRPr="00A64123">
        <w:rPr>
          <w:rFonts w:ascii="Arial" w:hAnsi="Arial" w:cs="Arial"/>
          <w:i/>
          <w:sz w:val="24"/>
          <w:szCs w:val="24"/>
          <w:shd w:val="clear" w:color="auto" w:fill="FFFFFF"/>
        </w:rPr>
        <w:t>(i) as peculiaridades do objeto a ser executado e sua localização indiquem que só será possível uma única contratação ou (ii) quando não for possível a contratação de itens isolados em decorrência da indivisibilidade das partes que compõem o objeto, a exemplo de serviços de realização de eventos.</w:t>
      </w:r>
    </w:p>
    <w:p w:rsidR="000E28F2" w:rsidRPr="00A64123" w:rsidRDefault="000E28F2" w:rsidP="000E28F2">
      <w:pPr>
        <w:spacing w:line="360" w:lineRule="auto"/>
        <w:ind w:firstLine="1134"/>
        <w:jc w:val="both"/>
        <w:rPr>
          <w:rFonts w:ascii="Arial" w:hAnsi="Arial" w:cs="Arial"/>
          <w:color w:val="000000"/>
          <w:sz w:val="24"/>
          <w:szCs w:val="24"/>
        </w:rPr>
      </w:pPr>
    </w:p>
    <w:p w:rsidR="000E28F2" w:rsidRPr="00A64123" w:rsidRDefault="000E28F2" w:rsidP="000E28F2">
      <w:pPr>
        <w:spacing w:line="360" w:lineRule="auto"/>
        <w:ind w:firstLine="1134"/>
        <w:jc w:val="both"/>
        <w:rPr>
          <w:rFonts w:ascii="Arial" w:hAnsi="Arial" w:cs="Arial"/>
          <w:color w:val="000000"/>
          <w:sz w:val="24"/>
          <w:szCs w:val="24"/>
        </w:rPr>
      </w:pPr>
      <w:r w:rsidRPr="00A64123">
        <w:rPr>
          <w:rFonts w:ascii="Arial" w:hAnsi="Arial" w:cs="Arial"/>
          <w:color w:val="000000"/>
          <w:sz w:val="24"/>
          <w:szCs w:val="24"/>
        </w:rPr>
        <w:t xml:space="preserve">Outro ponto que merece destaque refere-se à obrigatoriedade de que os quantitativos estimados pela administração reflitam aquilo que razoavelmente condiz com a necessidade administrativa do período em que estarão registrados os preços dos fornecedores. Significa dizer que os quantitativos definidos não podem ser superestimados pela administração, sob pena de restar configurada verdadeira limitação ao caráter competitivo do certame, razão pela qual oriento que sejam reavaliadas as quantidades definidas para o (s) item (ns) licitado (s), a fim de que sejam apurados possíveis quantitativos superestimados de contratação. </w:t>
      </w:r>
    </w:p>
    <w:p w:rsidR="000E28F2" w:rsidRPr="00A64123" w:rsidRDefault="000E28F2" w:rsidP="000E28F2">
      <w:pPr>
        <w:spacing w:line="360" w:lineRule="auto"/>
        <w:jc w:val="both"/>
        <w:rPr>
          <w:rFonts w:ascii="Arial" w:hAnsi="Arial" w:cs="Arial"/>
          <w:b/>
          <w:bCs/>
          <w:sz w:val="24"/>
          <w:szCs w:val="24"/>
        </w:rPr>
      </w:pPr>
    </w:p>
    <w:p w:rsidR="00CD1A02" w:rsidRPr="00A64123" w:rsidRDefault="00E300CA" w:rsidP="00E300CA">
      <w:pPr>
        <w:pStyle w:val="Corpodetexto"/>
        <w:spacing w:after="0" w:line="360" w:lineRule="auto"/>
        <w:ind w:firstLine="1134"/>
        <w:jc w:val="both"/>
        <w:rPr>
          <w:rFonts w:ascii="Arial" w:hAnsi="Arial" w:cs="Arial"/>
          <w:b/>
          <w:bCs/>
          <w:sz w:val="24"/>
          <w:szCs w:val="24"/>
        </w:rPr>
      </w:pPr>
      <w:r w:rsidRPr="00A64123">
        <w:rPr>
          <w:rFonts w:ascii="Arial" w:hAnsi="Arial" w:cs="Arial"/>
          <w:b/>
          <w:bCs/>
          <w:sz w:val="24"/>
          <w:szCs w:val="24"/>
        </w:rPr>
        <w:t xml:space="preserve">D) </w:t>
      </w:r>
      <w:r w:rsidR="00CD1A02" w:rsidRPr="00A64123">
        <w:rPr>
          <w:rFonts w:ascii="Arial" w:hAnsi="Arial" w:cs="Arial"/>
          <w:b/>
          <w:bCs/>
          <w:sz w:val="24"/>
          <w:szCs w:val="24"/>
        </w:rPr>
        <w:t>Dos Requisitos Legais para a Realização do Pregão;</w:t>
      </w:r>
    </w:p>
    <w:p w:rsidR="00CD1A02" w:rsidRPr="00A64123" w:rsidRDefault="00CD1A02" w:rsidP="00CD1A02">
      <w:pPr>
        <w:spacing w:line="360" w:lineRule="auto"/>
        <w:ind w:firstLine="1134"/>
        <w:jc w:val="both"/>
        <w:rPr>
          <w:rFonts w:ascii="Arial" w:hAnsi="Arial" w:cs="Arial"/>
          <w:b/>
          <w:bCs/>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Uma vez superada a análise quanto à viabilidade da utilização da modalidade pregão eletrônico, é de suma importância proceder a uma rigorosa avaliação quanto aos requisitos legais indispensáveis a sua perfectibilização.</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 xml:space="preserve">Como dito anteriormente, o Pregão Eletrônico é regido por legislação nacional, sendo certo que dentre suas normas estabelece os procedimentos preparatórios que deverão ser observados pela Administração quando da adoção desta modalidade licitatória. Neste sentido dispõe o art. 3º da Lei 8.666/93, </w:t>
      </w:r>
      <w:r w:rsidRPr="00A64123">
        <w:rPr>
          <w:rFonts w:ascii="Arial" w:hAnsi="Arial" w:cs="Arial"/>
          <w:i/>
          <w:sz w:val="24"/>
          <w:szCs w:val="24"/>
        </w:rPr>
        <w:t>ipsis litteris:</w:t>
      </w:r>
    </w:p>
    <w:p w:rsidR="00CD1A02" w:rsidRPr="00A64123" w:rsidRDefault="00CD1A02" w:rsidP="00CD1A02">
      <w:pPr>
        <w:spacing w:line="360" w:lineRule="auto"/>
        <w:ind w:firstLine="1134"/>
        <w:jc w:val="both"/>
        <w:rPr>
          <w:rFonts w:ascii="Arial" w:hAnsi="Arial" w:cs="Arial"/>
          <w:i/>
          <w:sz w:val="24"/>
          <w:szCs w:val="24"/>
        </w:rPr>
      </w:pPr>
    </w:p>
    <w:p w:rsidR="00CD1A02" w:rsidRPr="00A64123" w:rsidRDefault="00CD1A02" w:rsidP="00CD1A02">
      <w:pPr>
        <w:ind w:left="2268"/>
        <w:jc w:val="both"/>
        <w:rPr>
          <w:rFonts w:ascii="Arial" w:hAnsi="Arial" w:cs="Arial"/>
          <w:i/>
          <w:sz w:val="24"/>
          <w:szCs w:val="24"/>
        </w:rPr>
      </w:pPr>
      <w:r w:rsidRPr="00A64123">
        <w:rPr>
          <w:rFonts w:ascii="Arial" w:hAnsi="Arial" w:cs="Arial"/>
          <w:i/>
          <w:sz w:val="24"/>
          <w:szCs w:val="24"/>
        </w:rPr>
        <w:t>Art. 3</w:t>
      </w:r>
      <w:proofErr w:type="gramStart"/>
      <w:r w:rsidRPr="00A64123">
        <w:rPr>
          <w:rFonts w:ascii="Arial" w:hAnsi="Arial" w:cs="Arial"/>
          <w:i/>
          <w:sz w:val="24"/>
          <w:szCs w:val="24"/>
        </w:rPr>
        <w:t>º  A</w:t>
      </w:r>
      <w:proofErr w:type="gramEnd"/>
      <w:r w:rsidRPr="00A64123">
        <w:rPr>
          <w:rFonts w:ascii="Arial" w:hAnsi="Arial" w:cs="Arial"/>
          <w:i/>
          <w:sz w:val="24"/>
          <w:szCs w:val="24"/>
        </w:rPr>
        <w:t xml:space="preserve"> fase preparatória do pregão observará o seguinte:</w:t>
      </w:r>
    </w:p>
    <w:p w:rsidR="00CD1A02" w:rsidRPr="00A64123" w:rsidRDefault="00CD1A02" w:rsidP="00CD1A02">
      <w:pPr>
        <w:ind w:left="2268"/>
        <w:jc w:val="both"/>
        <w:rPr>
          <w:rFonts w:ascii="Arial" w:hAnsi="Arial" w:cs="Arial"/>
          <w:i/>
          <w:sz w:val="24"/>
          <w:szCs w:val="24"/>
        </w:rPr>
      </w:pPr>
      <w:r w:rsidRPr="00A64123">
        <w:rPr>
          <w:rFonts w:ascii="Arial" w:hAnsi="Arial" w:cs="Arial"/>
          <w:i/>
          <w:sz w:val="24"/>
          <w:szCs w:val="24"/>
        </w:rPr>
        <w:t xml:space="preserve">I - </w:t>
      </w:r>
      <w:proofErr w:type="gramStart"/>
      <w:r w:rsidRPr="00A64123">
        <w:rPr>
          <w:rFonts w:ascii="Arial" w:hAnsi="Arial" w:cs="Arial"/>
          <w:i/>
          <w:sz w:val="24"/>
          <w:szCs w:val="24"/>
        </w:rPr>
        <w:t>a</w:t>
      </w:r>
      <w:proofErr w:type="gramEnd"/>
      <w:r w:rsidRPr="00A64123">
        <w:rPr>
          <w:rFonts w:ascii="Arial" w:hAnsi="Arial" w:cs="Arial"/>
          <w:i/>
          <w:sz w:val="24"/>
          <w:szCs w:val="24"/>
        </w:rPr>
        <w:t xml:space="preserve"> autoridade competente justificará a necessidade de contratação e definirá o objeto do certame, as exigências de habilitação, os critérios de aceitação das propostas, as sanções por inadimplemento e as cláusulas do contrato, inclusive com fixação dos prazos para fornecimento;</w:t>
      </w:r>
    </w:p>
    <w:p w:rsidR="00CD1A02" w:rsidRPr="00A64123" w:rsidRDefault="00CD1A02" w:rsidP="00CD1A02">
      <w:pPr>
        <w:ind w:left="2268"/>
        <w:jc w:val="both"/>
        <w:rPr>
          <w:rFonts w:ascii="Arial" w:hAnsi="Arial" w:cs="Arial"/>
          <w:i/>
          <w:sz w:val="24"/>
          <w:szCs w:val="24"/>
        </w:rPr>
      </w:pPr>
      <w:r w:rsidRPr="00A64123">
        <w:rPr>
          <w:rFonts w:ascii="Arial" w:hAnsi="Arial" w:cs="Arial"/>
          <w:i/>
          <w:sz w:val="24"/>
          <w:szCs w:val="24"/>
        </w:rPr>
        <w:t xml:space="preserve">II - </w:t>
      </w:r>
      <w:proofErr w:type="gramStart"/>
      <w:r w:rsidRPr="00A64123">
        <w:rPr>
          <w:rFonts w:ascii="Arial" w:hAnsi="Arial" w:cs="Arial"/>
          <w:i/>
          <w:sz w:val="24"/>
          <w:szCs w:val="24"/>
        </w:rPr>
        <w:t>a</w:t>
      </w:r>
      <w:proofErr w:type="gramEnd"/>
      <w:r w:rsidRPr="00A64123">
        <w:rPr>
          <w:rFonts w:ascii="Arial" w:hAnsi="Arial" w:cs="Arial"/>
          <w:i/>
          <w:sz w:val="24"/>
          <w:szCs w:val="24"/>
        </w:rPr>
        <w:t xml:space="preserve"> definição do objeto deverá ser precisa, suficiente e clara, vedadas especificações que, por excessivas, irrelevantes ou desnecessárias, limitem a competição;</w:t>
      </w:r>
    </w:p>
    <w:p w:rsidR="00CD1A02" w:rsidRPr="00A64123" w:rsidRDefault="00CD1A02" w:rsidP="00CD1A02">
      <w:pPr>
        <w:ind w:left="2268"/>
        <w:jc w:val="both"/>
        <w:rPr>
          <w:rFonts w:ascii="Arial" w:hAnsi="Arial" w:cs="Arial"/>
          <w:i/>
          <w:sz w:val="24"/>
          <w:szCs w:val="24"/>
        </w:rPr>
      </w:pPr>
      <w:r w:rsidRPr="00A64123">
        <w:rPr>
          <w:rFonts w:ascii="Arial" w:hAnsi="Arial" w:cs="Arial"/>
          <w:i/>
          <w:sz w:val="24"/>
          <w:szCs w:val="24"/>
        </w:rPr>
        <w:t>III - dos autos do procedimento constarão a justificativa das definições referidas no inciso I deste artigo e os indispensáveis elementos técnicos sobre os quais estiverem apoiados, bem como o orçamento, elaborado pelo órgão ou entidade promotora da     licitação, dos bens ou serviços a serem licitados; e</w:t>
      </w:r>
    </w:p>
    <w:p w:rsidR="00CD1A02" w:rsidRPr="00A64123" w:rsidRDefault="00CD1A02" w:rsidP="00CD1A02">
      <w:pPr>
        <w:ind w:left="2268"/>
        <w:jc w:val="both"/>
        <w:rPr>
          <w:rFonts w:ascii="Arial" w:hAnsi="Arial" w:cs="Arial"/>
          <w:i/>
          <w:sz w:val="24"/>
          <w:szCs w:val="24"/>
        </w:rPr>
      </w:pPr>
      <w:r w:rsidRPr="00A64123">
        <w:rPr>
          <w:rFonts w:ascii="Arial" w:hAnsi="Arial" w:cs="Arial"/>
          <w:i/>
          <w:sz w:val="24"/>
          <w:szCs w:val="24"/>
        </w:rPr>
        <w:t xml:space="preserve">IV - </w:t>
      </w:r>
      <w:proofErr w:type="gramStart"/>
      <w:r w:rsidRPr="00A64123">
        <w:rPr>
          <w:rFonts w:ascii="Arial" w:hAnsi="Arial" w:cs="Arial"/>
          <w:i/>
          <w:sz w:val="24"/>
          <w:szCs w:val="24"/>
        </w:rPr>
        <w:t>a</w:t>
      </w:r>
      <w:proofErr w:type="gramEnd"/>
      <w:r w:rsidRPr="00A64123">
        <w:rPr>
          <w:rFonts w:ascii="Arial" w:hAnsi="Arial" w:cs="Arial"/>
          <w:i/>
          <w:sz w:val="24"/>
          <w:szCs w:val="24"/>
        </w:rPr>
        <w:t xml:space="preserve"> autoridade competente designará, dentre os servidores do órgão ou entidade promotora da licitação, o pregoeiro e respectiva equipe de apoio, cuja atribuição inclui, dentre outras, o recebimento das propostas e lances, a análise de sua aceitabilidade e sua classificação, bem como a habilitação e a adjudicação do objeto do certame ao licitante vencedor.</w:t>
      </w:r>
    </w:p>
    <w:p w:rsidR="00CD1A02" w:rsidRPr="00A64123" w:rsidRDefault="00CD1A02" w:rsidP="00CD1A02">
      <w:pPr>
        <w:ind w:left="2835"/>
        <w:jc w:val="both"/>
        <w:rPr>
          <w:rFonts w:ascii="Arial" w:hAnsi="Arial" w:cs="Arial"/>
          <w:i/>
          <w:sz w:val="24"/>
          <w:szCs w:val="24"/>
        </w:rPr>
      </w:pPr>
    </w:p>
    <w:p w:rsidR="00CD1A02" w:rsidRPr="00A64123" w:rsidRDefault="00CD1A02" w:rsidP="00CD1A02">
      <w:pPr>
        <w:ind w:left="2835"/>
        <w:jc w:val="both"/>
        <w:rPr>
          <w:rFonts w:ascii="Arial" w:hAnsi="Arial" w:cs="Arial"/>
          <w:i/>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Diante disso, passa-se ao cotejo entre estas exigências legais e a instrução dos autos, no intuito de verificar a regularidade jurídica do caso em exame, ou, se for o caso, apontar as providências que ainda devem ser adotadas pela Administração.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A64123" w:rsidP="00CD1A02">
      <w:pPr>
        <w:pStyle w:val="Corpodetexto"/>
        <w:spacing w:after="0" w:line="360" w:lineRule="auto"/>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.1. Da justificativa da contratação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É importante lembrar que a teoria dos motivos determinantes preconiza que os atos administrativos, quando motivados, ficam vinculados aos motivos expostos, para todos os efeitos jurídicos. Até mesmo sua validade dependerá da efetiva existência dos motivos apresentados. Recomenda-se, por isso, especial cautela quanto aos seus termos, que devem ser claros, precisos e corresponder à real demanda da Municipalidade, sendo inadmissíveis especificações que não agreguem valor ao resultado da contratação, ou superiores às necessidades do Município, ou, ainda, que estejam defasadas tecnológica e/ou metodologicamente.</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A Lei nº 10.520/2002 (art. 3º, I) determina também que a autoridade competente estabeleça, de modo motivado, as exigências de habilitação/qualificação, os critérios de aceitação das propostas, as sanções por inadimplemento e as cláusulas do futuro contrato.</w:t>
      </w:r>
    </w:p>
    <w:p w:rsidR="00CD1A02" w:rsidRPr="00A64123" w:rsidRDefault="00CD1A02" w:rsidP="00CD1A02">
      <w:pPr>
        <w:pStyle w:val="Corpodetexto"/>
        <w:spacing w:after="0"/>
        <w:ind w:firstLine="1134"/>
        <w:rPr>
          <w:rFonts w:ascii="Arial" w:hAnsi="Arial" w:cs="Arial"/>
          <w:sz w:val="24"/>
          <w:szCs w:val="24"/>
        </w:rPr>
      </w:pPr>
    </w:p>
    <w:p w:rsidR="00CD1A02" w:rsidRPr="00A64123" w:rsidRDefault="00A64123" w:rsidP="00CD1A02">
      <w:pPr>
        <w:pStyle w:val="Corpodetexto"/>
        <w:spacing w:after="0" w:line="360" w:lineRule="auto"/>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.2. Do Termo de Referência e da definição do objeto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O Termo de Referência consiste em um dos atos essenciais do pregão e deve conter todos os elementos caracterizadores do objeto que se pretende licitar, como a sua descrição detalhada, o orçamento estimativo de custos e o cronograma físico-financeiro da execução.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Tal documento deve propiciar a avaliação do custo pela Administração, a definição dos métodos, a estratégia de suprimento e o prazo de execução contratual.</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Quanto ao Termo de Referência, infere-se d</w:t>
      </w:r>
      <w:r w:rsidR="00FB2657" w:rsidRPr="00A64123">
        <w:rPr>
          <w:rFonts w:ascii="Arial" w:hAnsi="Arial" w:cs="Arial"/>
          <w:sz w:val="24"/>
          <w:szCs w:val="24"/>
        </w:rPr>
        <w:t>a legislação</w:t>
      </w:r>
      <w:r w:rsidRPr="00A64123">
        <w:rPr>
          <w:rFonts w:ascii="Arial" w:hAnsi="Arial" w:cs="Arial"/>
          <w:sz w:val="24"/>
          <w:szCs w:val="24"/>
        </w:rPr>
        <w:t xml:space="preserve"> de regência que balizará a definição do objeto do certame pela autoridade competente, exigida na Lei do Pregão (nº 10.520/2002). Nos autos, percebe-se a consonância entre o objeto detalhado e aquele definido pela autoridade competente, constante da minuta de Edital.</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Para a licitude da competição impende também que a definição do objeto, refletida no Termo de Referência, corresponda às reais necessidades do Município, evitando-se detalhes excessivos, irrelevantes ou desnecessários, capazes de conduzir à limitação da competitividade do certame. Registre-se que não incumbe à Assessoria Jurídica avaliar as especificações utilizadas, dado o seu caráter eminentemente técnico, </w:t>
      </w:r>
      <w:r w:rsidR="00BB0F78" w:rsidRPr="00A64123">
        <w:rPr>
          <w:rFonts w:ascii="Arial" w:hAnsi="Arial" w:cs="Arial"/>
          <w:sz w:val="24"/>
          <w:szCs w:val="24"/>
        </w:rPr>
        <w:t xml:space="preserve">competindo </w:t>
      </w:r>
      <w:r w:rsidRPr="00A64123">
        <w:rPr>
          <w:rFonts w:ascii="Arial" w:hAnsi="Arial" w:cs="Arial"/>
          <w:sz w:val="24"/>
          <w:szCs w:val="24"/>
        </w:rPr>
        <w:t xml:space="preserve">à Administração que </w:t>
      </w:r>
      <w:r w:rsidR="00BB0F78" w:rsidRPr="00A64123">
        <w:rPr>
          <w:rFonts w:ascii="Arial" w:hAnsi="Arial" w:cs="Arial"/>
          <w:sz w:val="24"/>
          <w:szCs w:val="24"/>
        </w:rPr>
        <w:t xml:space="preserve">certifique sobre </w:t>
      </w:r>
      <w:r w:rsidRPr="00A64123">
        <w:rPr>
          <w:rFonts w:ascii="Arial" w:hAnsi="Arial" w:cs="Arial"/>
          <w:sz w:val="24"/>
          <w:szCs w:val="24"/>
        </w:rPr>
        <w:t>o cumprimento deste requisito.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Convém lembrar que o art. 7º, §4º da Lei nº 8.666/93, veda a inclusão, no objeto da licitação, de fornecimento de materiais e serviços sem a previsão de quantidades, quer seja por unidades ou lotes, a chamada “aquisição global”. Em atenção ao preceito legal, a </w:t>
      </w:r>
      <w:r w:rsidRPr="00A64123">
        <w:rPr>
          <w:rFonts w:ascii="Arial" w:hAnsi="Arial" w:cs="Arial"/>
          <w:sz w:val="24"/>
          <w:szCs w:val="24"/>
        </w:rPr>
        <w:lastRenderedPageBreak/>
        <w:t>correta definição do objeto impõe a apresentação dos quantitativos estimados para a licitação, de forma justificada, mesmo que sucintamente.</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A64123" w:rsidP="00CD1A02">
      <w:pPr>
        <w:pStyle w:val="Corpodetexto"/>
        <w:spacing w:after="0"/>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.3. Da pesquisa de preços e do orçamento estimado;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A especificação clara e precisa do objeto, bem assim de todos os elementos que o caracterizam (quantidades, metodologia e tecnologia a serem empregados, critérios ambientais, etc.), possibilita a adequada pesquisa dos preços, imposta pelo nosso ordenamento jurídico.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A cotação de preços </w:t>
      </w:r>
      <w:r w:rsidRPr="00A64123">
        <w:rPr>
          <w:rFonts w:ascii="Arial" w:hAnsi="Arial" w:cs="Arial"/>
          <w:sz w:val="24"/>
          <w:szCs w:val="24"/>
          <w:u w:val="single"/>
        </w:rPr>
        <w:t>e, no caso, da apuração do percentual de desconto aplicado sobre o objeto</w:t>
      </w:r>
      <w:r w:rsidRPr="00A64123">
        <w:rPr>
          <w:rFonts w:ascii="Arial" w:hAnsi="Arial" w:cs="Arial"/>
          <w:sz w:val="24"/>
          <w:szCs w:val="24"/>
        </w:rPr>
        <w:t>, deve ser ampla e atualizada, de modo a refletir, efetivamente, a realidade do mercado. Para tanto, o TCU orienta que a Administração obtenha, no mínimo, três cotações válidas. Se não for possível, deve consignar a justificativa nos autos.</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Alerta-se, porém, que o atendimento à orientação da Egrégia Corte de Contas nem sempre é suficiente para fixar um parâmetro de preços aceitável. Falhas comuns são a limitação ao universo de empresas pesquisadas e a cotação dos preços praticados no varejo, quando o volume da contratação permitiria eventual ganho de escala, com redução dos preços obtidos.</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Assim, para evitar distorções, “além de realizar pesquisa que seja adequada às características do objeto licitado e tão ampla quanto a característica do mercado recomende, é salutar que a Administração busque ampliar sua base de consulta através de outras fontes de pesquisa”, tais como bases de sistemas de compras e avaliação de contratos recentes ou vigentes.</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Observe-se que as empresas pesquisadas devem ser do ramo pertinente à contratação desejada (Acórdão nº 1.782/2010-Plenário) e que não pode haver vínculo societário entre as empresas pesquisadas (Acórdão nº 4.561/2010-1ª Câmara).</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lastRenderedPageBreak/>
        <w:t>Para fins de documentação, recomendo que seja revisado se nos autos consta:</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a) A identificação do servidor responsável pela cotação;</w:t>
      </w: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b) A caracterização completa das empresas consultadas, com menção ao endereço e números de telefones;</w:t>
      </w: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c) Indicação dos valores praticados de maneira fundamentada e detalhada;</w:t>
      </w: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d) Data e local de expedição dos orçamentos apresentados.</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Ademais, vale asseverar que a adequada pesquisa de preços </w:t>
      </w:r>
      <w:r w:rsidRPr="00A64123">
        <w:rPr>
          <w:rFonts w:ascii="Arial" w:hAnsi="Arial" w:cs="Arial"/>
          <w:sz w:val="24"/>
          <w:szCs w:val="24"/>
          <w:u w:val="single"/>
        </w:rPr>
        <w:t>(e no caso do percentual de desconto praticado)</w:t>
      </w:r>
      <w:r w:rsidRPr="00A64123">
        <w:rPr>
          <w:rFonts w:ascii="Arial" w:hAnsi="Arial" w:cs="Arial"/>
          <w:sz w:val="24"/>
          <w:szCs w:val="24"/>
        </w:rPr>
        <w:t xml:space="preserve"> é essencial para aquilatar o orçamento da contratação, sendo imprescindível para verificar a existência de recursos suficientes para custeá-la.</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Serve, também, para afastar o risco de limitação ou ampliação indevida da participação no certame, uma vez que o valor contratual estimado é determinante para definir se a licitação deve ser destinada exclusivamente às microempresas, empresas de pequeno porte e sociedades cooperativas.</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Noutro prisma, através da Resolução de Consulta n. 020/2016 o Tribunal de Contas do Estado de Mato Grosso, preconiza que não basta a apresentação dos três orçamentos, especialmente se envolverem valores altos e materiais de grande relevância, cabendo ao órgão licitante balizar os orçamentos à luz do que se pratica dentro da própria Administração Pública, adotando os preços praticados pela Administração Pública, como fonte prioritária, além de consultas em portais oficiais de referenciamento de preços e em mídias e sítios especializados de amplo domínio público (Compranet, Portal do TCE-MT); fornecedores e catálogos de fornecedores; analogicamente com compras/contratações realizadas por corporações privadas, ou outras fontes idôneas, desde que devidamente detalhadas e justificadas. </w:t>
      </w:r>
    </w:p>
    <w:p w:rsidR="00CD1A02" w:rsidRPr="00A64123" w:rsidRDefault="00CD1A02" w:rsidP="00CD1A02">
      <w:pPr>
        <w:pStyle w:val="Corpodetexto"/>
        <w:spacing w:after="0" w:line="360" w:lineRule="auto"/>
        <w:ind w:firstLine="1134"/>
        <w:jc w:val="both"/>
        <w:rPr>
          <w:rFonts w:ascii="Arial" w:hAnsi="Arial" w:cs="Arial"/>
          <w:sz w:val="24"/>
          <w:szCs w:val="24"/>
        </w:rPr>
      </w:pPr>
    </w:p>
    <w:p w:rsidR="00DF48BB" w:rsidRPr="00A64123" w:rsidRDefault="00CD1A02" w:rsidP="00CD1A02">
      <w:pPr>
        <w:spacing w:line="360" w:lineRule="auto"/>
        <w:ind w:firstLine="1077"/>
        <w:jc w:val="both"/>
        <w:rPr>
          <w:rFonts w:ascii="Arial" w:hAnsi="Arial" w:cs="Arial"/>
          <w:sz w:val="24"/>
          <w:szCs w:val="24"/>
        </w:rPr>
      </w:pPr>
      <w:r w:rsidRPr="00A64123">
        <w:rPr>
          <w:rFonts w:ascii="Arial" w:hAnsi="Arial" w:cs="Arial"/>
          <w:sz w:val="24"/>
          <w:szCs w:val="24"/>
        </w:rPr>
        <w:t xml:space="preserve">No entanto, parte-se do princípio de que esta foi a forma mais eficiente de encontrar o preço balizado, não cabendo a este departamento realizar análise de mérito </w:t>
      </w:r>
      <w:r w:rsidRPr="00A64123">
        <w:rPr>
          <w:rFonts w:ascii="Arial" w:hAnsi="Arial" w:cs="Arial"/>
          <w:sz w:val="24"/>
          <w:szCs w:val="24"/>
        </w:rPr>
        <w:lastRenderedPageBreak/>
        <w:t xml:space="preserve">quanto à base utilizada e o </w:t>
      </w:r>
      <w:r w:rsidR="000E28F2" w:rsidRPr="00A64123">
        <w:rPr>
          <w:rFonts w:ascii="Arial" w:hAnsi="Arial" w:cs="Arial"/>
          <w:sz w:val="24"/>
          <w:szCs w:val="24"/>
        </w:rPr>
        <w:t>percentual</w:t>
      </w:r>
      <w:r w:rsidRPr="00A64123">
        <w:rPr>
          <w:rFonts w:ascii="Arial" w:hAnsi="Arial" w:cs="Arial"/>
          <w:sz w:val="24"/>
          <w:szCs w:val="24"/>
        </w:rPr>
        <w:t xml:space="preserve"> fixado.</w:t>
      </w:r>
      <w:r w:rsidR="00F67FBC" w:rsidRPr="00A64123">
        <w:rPr>
          <w:rFonts w:ascii="Arial" w:hAnsi="Arial" w:cs="Arial"/>
          <w:sz w:val="24"/>
          <w:szCs w:val="24"/>
        </w:rPr>
        <w:t xml:space="preserve"> Nota-se que</w:t>
      </w:r>
      <w:r w:rsidR="00DF48BB" w:rsidRPr="00A64123">
        <w:rPr>
          <w:rFonts w:ascii="Arial" w:hAnsi="Arial" w:cs="Arial"/>
          <w:sz w:val="24"/>
          <w:szCs w:val="24"/>
        </w:rPr>
        <w:t xml:space="preserve"> o percentual é o preço de mercado</w:t>
      </w:r>
      <w:r w:rsidR="00F67FBC" w:rsidRPr="00A64123">
        <w:rPr>
          <w:rFonts w:ascii="Arial" w:hAnsi="Arial" w:cs="Arial"/>
          <w:sz w:val="24"/>
          <w:szCs w:val="24"/>
        </w:rPr>
        <w:t>, assim faz-se necessário reexaminar</w:t>
      </w:r>
      <w:r w:rsidR="00DF48BB" w:rsidRPr="00A64123">
        <w:rPr>
          <w:rFonts w:ascii="Arial" w:hAnsi="Arial" w:cs="Arial"/>
          <w:sz w:val="24"/>
          <w:szCs w:val="24"/>
        </w:rPr>
        <w:t xml:space="preserve"> se </w:t>
      </w:r>
      <w:r w:rsidR="00F67FBC" w:rsidRPr="00A64123">
        <w:rPr>
          <w:rFonts w:ascii="Arial" w:hAnsi="Arial" w:cs="Arial"/>
          <w:sz w:val="24"/>
          <w:szCs w:val="24"/>
        </w:rPr>
        <w:t xml:space="preserve">o desconto mínimo de </w:t>
      </w:r>
      <w:r w:rsidR="00DF48BB" w:rsidRPr="00A64123">
        <w:rPr>
          <w:rFonts w:ascii="Arial" w:hAnsi="Arial" w:cs="Arial"/>
          <w:sz w:val="24"/>
          <w:szCs w:val="24"/>
        </w:rPr>
        <w:t xml:space="preserve">05 % é o preço que normalmente se aplica, </w:t>
      </w:r>
      <w:r w:rsidR="00F67FBC" w:rsidRPr="00A64123">
        <w:rPr>
          <w:rFonts w:ascii="Arial" w:hAnsi="Arial" w:cs="Arial"/>
          <w:sz w:val="24"/>
          <w:szCs w:val="24"/>
        </w:rPr>
        <w:t xml:space="preserve">de modo que seja satisfeito </w:t>
      </w:r>
      <w:r w:rsidR="00DF48BB" w:rsidRPr="00A64123">
        <w:rPr>
          <w:rFonts w:ascii="Arial" w:hAnsi="Arial" w:cs="Arial"/>
          <w:sz w:val="24"/>
          <w:szCs w:val="24"/>
        </w:rPr>
        <w:t xml:space="preserve">o balizamento de preço </w:t>
      </w:r>
      <w:r w:rsidR="00F67FBC" w:rsidRPr="00A64123">
        <w:rPr>
          <w:rFonts w:ascii="Arial" w:hAnsi="Arial" w:cs="Arial"/>
          <w:sz w:val="24"/>
          <w:szCs w:val="24"/>
        </w:rPr>
        <w:t xml:space="preserve">que </w:t>
      </w:r>
      <w:r w:rsidR="00DF48BB" w:rsidRPr="00A64123">
        <w:rPr>
          <w:rFonts w:ascii="Arial" w:hAnsi="Arial" w:cs="Arial"/>
          <w:sz w:val="24"/>
          <w:szCs w:val="24"/>
        </w:rPr>
        <w:t xml:space="preserve">é </w:t>
      </w:r>
      <w:r w:rsidR="00F67FBC" w:rsidRPr="00A64123">
        <w:rPr>
          <w:rFonts w:ascii="Arial" w:hAnsi="Arial" w:cs="Arial"/>
          <w:sz w:val="24"/>
          <w:szCs w:val="24"/>
        </w:rPr>
        <w:t>sobre o percentual de desconto.</w:t>
      </w:r>
    </w:p>
    <w:p w:rsidR="00CD1A02" w:rsidRPr="00A64123" w:rsidRDefault="00CD1A02" w:rsidP="00CD1A02">
      <w:pPr>
        <w:spacing w:line="360" w:lineRule="auto"/>
        <w:ind w:firstLine="1077"/>
        <w:jc w:val="both"/>
        <w:rPr>
          <w:rFonts w:ascii="Arial" w:hAnsi="Arial" w:cs="Arial"/>
          <w:sz w:val="24"/>
          <w:szCs w:val="24"/>
        </w:rPr>
      </w:pPr>
    </w:p>
    <w:p w:rsidR="00CD1A02" w:rsidRPr="00A64123" w:rsidRDefault="00CD1A02" w:rsidP="00CD1A02">
      <w:pPr>
        <w:spacing w:line="360" w:lineRule="auto"/>
        <w:ind w:firstLine="1077"/>
        <w:jc w:val="both"/>
        <w:rPr>
          <w:rFonts w:ascii="Arial" w:hAnsi="Arial" w:cs="Arial"/>
          <w:sz w:val="24"/>
          <w:szCs w:val="24"/>
        </w:rPr>
      </w:pPr>
      <w:r w:rsidRPr="00A64123">
        <w:rPr>
          <w:rFonts w:ascii="Arial" w:hAnsi="Arial" w:cs="Arial"/>
          <w:sz w:val="24"/>
          <w:szCs w:val="24"/>
          <w:u w:val="single"/>
        </w:rPr>
        <w:t xml:space="preserve">Por fim, recomendo ao solicitante que seja reexaminado o processo, de modo a certificar se todos os orçamentos utilizados para o balizamento foram juntados aos autos, se estes foram corretamente inseridos no quadro demonstrativo de preços e, finalmente, se os percentuais balizados estão corretamente inseridos no Termo de Referência. </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A64123" w:rsidP="00CD1A02">
      <w:pPr>
        <w:pStyle w:val="Corpodetexto"/>
        <w:spacing w:after="0"/>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.4. Das Exigências de Habilitação;</w:t>
      </w:r>
    </w:p>
    <w:p w:rsidR="00CD1A02" w:rsidRPr="00A64123" w:rsidRDefault="00CD1A02" w:rsidP="00CD1A02">
      <w:pPr>
        <w:pStyle w:val="Corpodetexto"/>
        <w:spacing w:before="57" w:after="57"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Além dos documentos de registro, inscrição e atos constitutivos, a Lei nº 10.520/02 determina que a habilitação far-se-á com a verificação de que “</w:t>
      </w:r>
      <w:r w:rsidRPr="00A64123">
        <w:rPr>
          <w:rFonts w:ascii="Arial" w:hAnsi="Arial" w:cs="Arial"/>
          <w:i/>
          <w:iCs/>
          <w:sz w:val="24"/>
          <w:szCs w:val="24"/>
        </w:rPr>
        <w:t>o licitante está em situação regular perante a Fazenda Nacional, a Seguridade Social e o Fundo de Garantia do Tempo de Serviço - FGTS, e as Fazendas Estaduais e Municipais, quando for o caso, com a comprovação de que atende às exigências do edital quanto à habilitação jurídica e qualificações técnica e econômico-financeira</w:t>
      </w:r>
      <w:r w:rsidRPr="00A64123">
        <w:rPr>
          <w:rFonts w:ascii="Arial" w:hAnsi="Arial" w:cs="Arial"/>
          <w:sz w:val="24"/>
          <w:szCs w:val="24"/>
        </w:rPr>
        <w:t>”.</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Destarte, imprescindível a comprovação da qualificação econômico-financeira mínima para garantir a execução do objeto contratado.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i/>
          <w:sz w:val="24"/>
          <w:szCs w:val="24"/>
        </w:rPr>
      </w:pPr>
      <w:r w:rsidRPr="00A64123">
        <w:rPr>
          <w:rFonts w:ascii="Arial" w:hAnsi="Arial" w:cs="Arial"/>
          <w:sz w:val="24"/>
          <w:szCs w:val="24"/>
        </w:rPr>
        <w:t xml:space="preserve">Também no tocante à comprovação da aptidão técnica, cumpre destacar que a Administração pode impor tanto exigências relativas ao licitante, quanto ao seu pessoal técnico, solicitando a comprovação por meio de certidões ou atestados de serviços similares, de complexidade tecnológica e operacional equivalente ou superior. No entanto, não se pode deixar de observar o que determina o art. 30, § 5º, da Lei nº 8.666/93, </w:t>
      </w:r>
      <w:r w:rsidRPr="00A64123">
        <w:rPr>
          <w:rFonts w:ascii="Arial" w:hAnsi="Arial" w:cs="Arial"/>
          <w:i/>
          <w:sz w:val="24"/>
          <w:szCs w:val="24"/>
        </w:rPr>
        <w:t>ipsis litteris:</w:t>
      </w:r>
    </w:p>
    <w:p w:rsidR="00CD1A02" w:rsidRPr="00A64123" w:rsidRDefault="00CD1A02" w:rsidP="00CD1A02">
      <w:pPr>
        <w:pStyle w:val="Corpodetexto"/>
        <w:ind w:firstLine="540"/>
        <w:jc w:val="both"/>
        <w:rPr>
          <w:rFonts w:ascii="Arial" w:hAnsi="Arial" w:cs="Arial"/>
          <w:sz w:val="24"/>
          <w:szCs w:val="24"/>
        </w:rPr>
      </w:pPr>
    </w:p>
    <w:p w:rsidR="00CD1A02" w:rsidRPr="00A64123" w:rsidRDefault="00CD1A02" w:rsidP="00CD1A02">
      <w:pPr>
        <w:pStyle w:val="Corpodetexto"/>
        <w:ind w:left="2280"/>
        <w:jc w:val="both"/>
        <w:rPr>
          <w:rFonts w:ascii="Arial" w:hAnsi="Arial" w:cs="Arial"/>
          <w:sz w:val="24"/>
          <w:szCs w:val="24"/>
        </w:rPr>
      </w:pPr>
      <w:r w:rsidRPr="00A64123">
        <w:rPr>
          <w:rFonts w:ascii="Arial" w:hAnsi="Arial" w:cs="Arial"/>
          <w:sz w:val="24"/>
          <w:szCs w:val="24"/>
        </w:rPr>
        <w:t>“</w:t>
      </w:r>
      <w:r w:rsidRPr="00A64123">
        <w:rPr>
          <w:rFonts w:ascii="Arial" w:hAnsi="Arial" w:cs="Arial"/>
          <w:i/>
          <w:sz w:val="24"/>
          <w:szCs w:val="24"/>
        </w:rPr>
        <w:t xml:space="preserve">É vedada a exigência de comprovação de atividade ou de aptidão com limitações de tempo ou de época ou ainda em locais específicos, </w:t>
      </w:r>
      <w:r w:rsidRPr="00A64123">
        <w:rPr>
          <w:rFonts w:ascii="Arial" w:hAnsi="Arial" w:cs="Arial"/>
          <w:i/>
          <w:sz w:val="24"/>
          <w:szCs w:val="24"/>
        </w:rPr>
        <w:lastRenderedPageBreak/>
        <w:t>ou quaisquer outras não previstas nesta Lei, que inibam a participação na licitação”.</w:t>
      </w:r>
    </w:p>
    <w:p w:rsidR="00CD1A02" w:rsidRPr="00A64123" w:rsidRDefault="00CD1A02" w:rsidP="00CD1A02">
      <w:pPr>
        <w:pStyle w:val="Corpodetexto"/>
        <w:ind w:firstLine="540"/>
        <w:jc w:val="both"/>
        <w:rPr>
          <w:rFonts w:ascii="Arial" w:hAnsi="Arial" w:cs="Arial"/>
          <w:sz w:val="24"/>
          <w:szCs w:val="24"/>
        </w:rPr>
      </w:pPr>
    </w:p>
    <w:p w:rsidR="00CD1A02" w:rsidRPr="00A64123" w:rsidRDefault="00CD1A02" w:rsidP="00CD1A02">
      <w:pPr>
        <w:pStyle w:val="Corpodetexto"/>
        <w:spacing w:after="0"/>
        <w:ind w:firstLine="1134"/>
        <w:jc w:val="both"/>
        <w:rPr>
          <w:rFonts w:ascii="Arial" w:hAnsi="Arial" w:cs="Arial"/>
          <w:sz w:val="24"/>
          <w:szCs w:val="24"/>
        </w:rPr>
      </w:pPr>
      <w:r w:rsidRPr="00A64123">
        <w:rPr>
          <w:rFonts w:ascii="Arial" w:hAnsi="Arial" w:cs="Arial"/>
          <w:sz w:val="24"/>
          <w:szCs w:val="24"/>
        </w:rPr>
        <w:t>A Súmula/TCU nº 263/2011 esclarece que:</w:t>
      </w:r>
    </w:p>
    <w:p w:rsidR="00CD1A02" w:rsidRPr="00A64123" w:rsidRDefault="00CD1A02" w:rsidP="00CD1A02">
      <w:pPr>
        <w:pStyle w:val="Corpodetexto"/>
        <w:ind w:firstLine="1134"/>
        <w:jc w:val="both"/>
        <w:rPr>
          <w:rFonts w:ascii="Arial" w:hAnsi="Arial" w:cs="Arial"/>
          <w:sz w:val="24"/>
          <w:szCs w:val="24"/>
        </w:rPr>
      </w:pPr>
    </w:p>
    <w:p w:rsidR="00CD1A02" w:rsidRPr="00A64123" w:rsidRDefault="00CD1A02" w:rsidP="00CD1A02">
      <w:pPr>
        <w:pStyle w:val="Corpodetexto"/>
        <w:ind w:left="2265" w:firstLine="15"/>
        <w:jc w:val="both"/>
        <w:rPr>
          <w:rFonts w:ascii="Arial" w:hAnsi="Arial" w:cs="Arial"/>
          <w:i/>
          <w:sz w:val="24"/>
          <w:szCs w:val="24"/>
        </w:rPr>
      </w:pPr>
      <w:r w:rsidRPr="00A64123">
        <w:rPr>
          <w:rFonts w:ascii="Arial" w:hAnsi="Arial" w:cs="Arial"/>
          <w:i/>
          <w:sz w:val="24"/>
          <w:szCs w:val="24"/>
        </w:rPr>
        <w:t>“Para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rsidR="00CD1A02" w:rsidRPr="00A64123" w:rsidRDefault="00CD1A02" w:rsidP="00CD1A02">
      <w:pPr>
        <w:pStyle w:val="Corpodetexto"/>
        <w:ind w:firstLine="540"/>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Já o Acórdão nº. 914/2019 do TCU afirma: </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ind w:left="2268"/>
        <w:jc w:val="both"/>
        <w:rPr>
          <w:rFonts w:ascii="Arial" w:hAnsi="Arial" w:cs="Arial"/>
          <w:i/>
          <w:sz w:val="24"/>
          <w:szCs w:val="24"/>
        </w:rPr>
      </w:pPr>
      <w:r w:rsidRPr="00A64123">
        <w:rPr>
          <w:rFonts w:ascii="Arial" w:hAnsi="Arial" w:cs="Arial"/>
          <w:i/>
          <w:sz w:val="24"/>
          <w:szCs w:val="24"/>
        </w:rPr>
        <w:t>É obrigatório o estabelecimento de parâmetros objetivos para análise da comprovação (atestados de capacidade técnico-operacional) de que a licitante já tenha fornecido bens pertinentes e compatíveis em características, quantidades e prazos com o objeto da licitação (art. 30, inciso II, da Lei 8.666/1993</w:t>
      </w:r>
      <w:proofErr w:type="gramStart"/>
      <w:r w:rsidRPr="00A64123">
        <w:rPr>
          <w:rFonts w:ascii="Arial" w:hAnsi="Arial" w:cs="Arial"/>
          <w:i/>
          <w:sz w:val="24"/>
          <w:szCs w:val="24"/>
        </w:rPr>
        <w:t>) .</w:t>
      </w:r>
      <w:proofErr w:type="gramEnd"/>
      <w:r w:rsidRPr="00A64123">
        <w:rPr>
          <w:rFonts w:ascii="Arial" w:hAnsi="Arial" w:cs="Arial"/>
          <w:i/>
          <w:sz w:val="24"/>
          <w:szCs w:val="24"/>
        </w:rPr>
        <w:t xml:space="preserve"> </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Recomenda-se, portanto, que a Administração atente para os entendimentos do TCU sobre o tema, como acima apresentado, demonstrando, justificadamente, nestes autos, que os parâmetros de qualificação técnica fixados no edital são necessários, suficientes e pertinentes ao objeto licitado, assegurando-se que as exigências formuladas não implicam em restrição ao caráter competitivo do certame (vide ainda o Acórdão nº 135/2005-P-TCU).</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A64123" w:rsidP="00CD1A02">
      <w:pPr>
        <w:pStyle w:val="Corpodetexto"/>
        <w:spacing w:after="0" w:line="360" w:lineRule="auto"/>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.5. Dos critérios para aceitação das propostas</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Outra exigência da Lei nº 10.520/2002 é que a autoridade competente defina os critérios de aceitação das propostas feitas pelos licitantes (art. 3º, I).</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lastRenderedPageBreak/>
        <w:t>O TCU já se pronunciou no sentido de que o gestor deve verificar a aceitabilidade dos custos indiretos, bem assim estabelecer critérios de aceitabilidade e limitação dos preços unitários.</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Impende notar que o critério definido pelos órgãos solicitantes para a aquisição do objeto licitado é o de </w:t>
      </w:r>
      <w:r w:rsidRPr="00A64123">
        <w:rPr>
          <w:rFonts w:ascii="Arial" w:hAnsi="Arial" w:cs="Arial"/>
          <w:sz w:val="24"/>
          <w:szCs w:val="24"/>
          <w:u w:val="single"/>
        </w:rPr>
        <w:t xml:space="preserve">maior </w:t>
      </w:r>
      <w:r w:rsidR="007D394A" w:rsidRPr="00A64123">
        <w:rPr>
          <w:rFonts w:ascii="Arial" w:hAnsi="Arial" w:cs="Arial"/>
          <w:sz w:val="24"/>
          <w:szCs w:val="24"/>
          <w:u w:val="single"/>
        </w:rPr>
        <w:t xml:space="preserve">percentual de </w:t>
      </w:r>
      <w:r w:rsidRPr="00A64123">
        <w:rPr>
          <w:rFonts w:ascii="Arial" w:hAnsi="Arial" w:cs="Arial"/>
          <w:sz w:val="24"/>
          <w:szCs w:val="24"/>
          <w:u w:val="single"/>
        </w:rPr>
        <w:t xml:space="preserve">desconto por item. </w:t>
      </w:r>
    </w:p>
    <w:p w:rsidR="00CD1A02" w:rsidRPr="00A64123" w:rsidRDefault="00CD1A02" w:rsidP="00CD1A02">
      <w:pPr>
        <w:pStyle w:val="Corpodetexto"/>
        <w:spacing w:after="0" w:line="360" w:lineRule="auto"/>
        <w:ind w:firstLine="1134"/>
        <w:jc w:val="both"/>
        <w:rPr>
          <w:rFonts w:ascii="Arial" w:hAnsi="Arial" w:cs="Arial"/>
          <w:sz w:val="24"/>
          <w:szCs w:val="24"/>
          <w:u w:val="single"/>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Este critério de julgamento, a bem da verdade, é um desdobramento do critério menor preço, previsto pelo art. 4º, X da Lei 10.520/02, e que deve ser adotado nos processos licitatórios de Pregão, seja ele presencial ou eletrônico. </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Diz-se isso porque mesmo que se aplicando o maior percentual de desconto sobre uma tabela determinada como critério para se chegar à proposta mais vantajosa para a Administração, o que se tem, na verdade, é a escolha da proposta que apresentada o menor preço para o ente público. </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O Tribunal de Contas do Estado de Mato Grosso já teve a oportunidade de se manifestar quanto ao assunto, ocasião em que exarou o seguinte posicionamento em sua Resolução de Consulta nº. 22/2010 – TP:</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ind w:left="2268"/>
        <w:jc w:val="both"/>
        <w:rPr>
          <w:rFonts w:ascii="Arial" w:hAnsi="Arial" w:cs="Arial"/>
          <w:sz w:val="24"/>
          <w:szCs w:val="24"/>
        </w:rPr>
      </w:pPr>
      <w:r w:rsidRPr="00A64123">
        <w:rPr>
          <w:rStyle w:val="nfaseforte"/>
          <w:rFonts w:ascii="Arial" w:hAnsi="Arial" w:cs="Arial"/>
          <w:color w:val="000000"/>
          <w:sz w:val="24"/>
          <w:szCs w:val="24"/>
        </w:rPr>
        <w:t>Licitação. Registro de Preços. Maior percentual de desconto sobre tabela de preços de fabricante ou de sistema eletrônico equivalente. Preços compatíveis com os praticados no mercado.</w:t>
      </w:r>
      <w:r w:rsidRPr="00A64123">
        <w:rPr>
          <w:rFonts w:ascii="Arial" w:hAnsi="Arial" w:cs="Arial"/>
          <w:sz w:val="24"/>
          <w:szCs w:val="24"/>
        </w:rPr>
        <w:t xml:space="preserve"> </w:t>
      </w:r>
    </w:p>
    <w:p w:rsidR="00CD1A02" w:rsidRPr="00A64123" w:rsidRDefault="00CD1A02" w:rsidP="00CD1A02">
      <w:pPr>
        <w:pStyle w:val="Corpodetexto"/>
        <w:ind w:left="2268"/>
        <w:jc w:val="both"/>
        <w:rPr>
          <w:rFonts w:ascii="Arial" w:hAnsi="Arial" w:cs="Arial"/>
          <w:sz w:val="24"/>
          <w:szCs w:val="24"/>
        </w:rPr>
      </w:pPr>
      <w:r w:rsidRPr="00A64123">
        <w:rPr>
          <w:rFonts w:ascii="Arial" w:hAnsi="Arial" w:cs="Arial"/>
          <w:color w:val="000000"/>
          <w:sz w:val="24"/>
          <w:szCs w:val="24"/>
        </w:rPr>
        <w:t>O ente público pode realizar procedimento licitatório utilizando como valor de referência tabela de preços de fabricante ou de sistema eletrônico equivalente, para registro de preços de </w:t>
      </w:r>
      <w:r w:rsidRPr="00A64123">
        <w:rPr>
          <w:rFonts w:ascii="Arial" w:hAnsi="Arial" w:cs="Arial"/>
          <w:sz w:val="24"/>
          <w:szCs w:val="24"/>
        </w:rPr>
        <w:t>maior</w:t>
      </w:r>
      <w:r w:rsidRPr="00A64123">
        <w:rPr>
          <w:rFonts w:ascii="Arial" w:hAnsi="Arial" w:cs="Arial"/>
          <w:color w:val="000000"/>
          <w:sz w:val="24"/>
          <w:szCs w:val="24"/>
        </w:rPr>
        <w:t> percentual de </w:t>
      </w:r>
      <w:r w:rsidRPr="00A64123">
        <w:rPr>
          <w:rFonts w:ascii="Arial" w:hAnsi="Arial" w:cs="Arial"/>
          <w:sz w:val="24"/>
          <w:szCs w:val="24"/>
        </w:rPr>
        <w:t>desconto</w:t>
      </w:r>
      <w:r w:rsidRPr="00A64123">
        <w:rPr>
          <w:rFonts w:ascii="Arial" w:hAnsi="Arial" w:cs="Arial"/>
          <w:color w:val="000000"/>
          <w:sz w:val="24"/>
          <w:szCs w:val="24"/>
        </w:rPr>
        <w:t> sobre a referida tabela, desde que os valores estejam de acordo com os praticados no mercado</w:t>
      </w:r>
      <w:r w:rsidRPr="00A64123">
        <w:rPr>
          <w:rFonts w:ascii="Arial" w:hAnsi="Arial" w:cs="Arial"/>
          <w:sz w:val="24"/>
          <w:szCs w:val="24"/>
        </w:rPr>
        <w:t xml:space="preserve"> </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Nesta feita, resta demonstrada a possibilidade de utilizar o critério do maior percentual de desconto sobre uma determinada tabela, bastando que o ente público se </w:t>
      </w:r>
      <w:r w:rsidRPr="00A64123">
        <w:rPr>
          <w:rFonts w:ascii="Arial" w:hAnsi="Arial" w:cs="Arial"/>
          <w:sz w:val="24"/>
          <w:szCs w:val="24"/>
        </w:rPr>
        <w:lastRenderedPageBreak/>
        <w:t xml:space="preserve">atenha a praticabilidade do preço tabelado com a realidade de mercado, fato que de o solicitante </w:t>
      </w:r>
      <w:r w:rsidR="007D394A" w:rsidRPr="00A64123">
        <w:rPr>
          <w:rFonts w:ascii="Arial" w:hAnsi="Arial" w:cs="Arial"/>
          <w:sz w:val="24"/>
          <w:szCs w:val="24"/>
        </w:rPr>
        <w:t xml:space="preserve">deve </w:t>
      </w:r>
      <w:r w:rsidRPr="00A64123">
        <w:rPr>
          <w:rFonts w:ascii="Arial" w:hAnsi="Arial" w:cs="Arial"/>
          <w:sz w:val="24"/>
          <w:szCs w:val="24"/>
        </w:rPr>
        <w:t>observar.</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Uma vez conferida a obediência ao preconizado pelo entendimento firmado pela Resolução de Consulta supra, mostra-se preenchido o requisito legal de definição de um critério de julgamento objetivo.</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A64123" w:rsidP="00CD1A02">
      <w:pPr>
        <w:pStyle w:val="Corpodetexto"/>
        <w:spacing w:after="0"/>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.6. Da previsão de existência de recursos orçamentários</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A Lei Federal nº 8.666/93, aplicável subsidiariamente aos pregões, estabelece que a realização de licitação depende da previsão de recursos orçamentários que assegurem o pagamento das obrigações decorrentes de obras ou serviços a serem executadas no exercício financeiro em curso, de acordo com o respectivo cronograma. </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No entanto, por se tratar de certame licitatório destinado ao registro de preços, resta dispensada a apresentação do parecer contábil para o lançamento do certame, a teor do disposto pelo art. 7º, § 2º do Decreto </w:t>
      </w:r>
      <w:r w:rsidR="007D394A" w:rsidRPr="00A64123">
        <w:rPr>
          <w:rFonts w:ascii="Arial" w:hAnsi="Arial" w:cs="Arial"/>
          <w:sz w:val="24"/>
          <w:szCs w:val="24"/>
        </w:rPr>
        <w:t xml:space="preserve">Federal </w:t>
      </w:r>
      <w:r w:rsidRPr="00A64123">
        <w:rPr>
          <w:rFonts w:ascii="Arial" w:hAnsi="Arial" w:cs="Arial"/>
          <w:sz w:val="24"/>
          <w:szCs w:val="24"/>
        </w:rPr>
        <w:t xml:space="preserve">nº </w:t>
      </w:r>
      <w:r w:rsidR="007D394A" w:rsidRPr="00A64123">
        <w:rPr>
          <w:rFonts w:ascii="Arial" w:hAnsi="Arial" w:cs="Arial"/>
          <w:sz w:val="24"/>
          <w:szCs w:val="24"/>
        </w:rPr>
        <w:t>7.892</w:t>
      </w:r>
      <w:r w:rsidRPr="00A64123">
        <w:rPr>
          <w:rFonts w:ascii="Arial" w:hAnsi="Arial" w:cs="Arial"/>
          <w:sz w:val="24"/>
          <w:szCs w:val="24"/>
        </w:rPr>
        <w:t>/20</w:t>
      </w:r>
      <w:r w:rsidR="007D394A" w:rsidRPr="00A64123">
        <w:rPr>
          <w:rFonts w:ascii="Arial" w:hAnsi="Arial" w:cs="Arial"/>
          <w:sz w:val="24"/>
          <w:szCs w:val="24"/>
        </w:rPr>
        <w:t>13</w:t>
      </w:r>
      <w:r w:rsidRPr="00A64123">
        <w:rPr>
          <w:rFonts w:ascii="Arial" w:hAnsi="Arial" w:cs="Arial"/>
          <w:sz w:val="24"/>
          <w:szCs w:val="24"/>
        </w:rPr>
        <w:t>, cujas rubricas deverão ser apresentadas tão somente por ocasião da contratação.</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A64123" w:rsidP="00CD1A02">
      <w:pPr>
        <w:pStyle w:val="Corpodetexto"/>
        <w:spacing w:after="0"/>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.7. Autorização para a abertura da licitação</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Superadas as etapas relativas ao planejamento da contratação, como a definição do objeto e a indicação do recurso próprio para a despesa, torna-se possível ao gestor avaliar a oportunidade e a conveniência de se realizar a contratação.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 xml:space="preserve">Caso conclua por deflagrar a licitação pretendida, deve emitir a autorização para a abertura da licitação, prevista no art. 8º, inciso V do Decreto </w:t>
      </w:r>
      <w:r w:rsidR="007D394A" w:rsidRPr="00A64123">
        <w:rPr>
          <w:rFonts w:ascii="Arial" w:hAnsi="Arial" w:cs="Arial"/>
          <w:sz w:val="24"/>
          <w:szCs w:val="24"/>
        </w:rPr>
        <w:t xml:space="preserve">Federal </w:t>
      </w:r>
      <w:r w:rsidRPr="00A64123">
        <w:rPr>
          <w:rFonts w:ascii="Arial" w:hAnsi="Arial" w:cs="Arial"/>
          <w:sz w:val="24"/>
          <w:szCs w:val="24"/>
        </w:rPr>
        <w:t>nº 10.024/2019.</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No presente caso, tal exigência foi cumprida.</w:t>
      </w:r>
    </w:p>
    <w:p w:rsidR="00CD1A02" w:rsidRPr="00A64123" w:rsidRDefault="00CD1A02" w:rsidP="00CD1A02">
      <w:pPr>
        <w:pStyle w:val="Corpodetexto"/>
        <w:spacing w:after="0"/>
        <w:ind w:firstLine="1134"/>
        <w:jc w:val="both"/>
        <w:rPr>
          <w:rFonts w:ascii="Arial" w:hAnsi="Arial" w:cs="Arial"/>
          <w:sz w:val="24"/>
          <w:szCs w:val="24"/>
        </w:rPr>
      </w:pPr>
    </w:p>
    <w:p w:rsidR="00CD1A02" w:rsidRPr="00A64123" w:rsidRDefault="00A64123" w:rsidP="00CD1A02">
      <w:pPr>
        <w:pStyle w:val="Corpodetexto"/>
        <w:spacing w:after="0"/>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.8. Designação do Pregoeiro e Equipe de Apoio</w:t>
      </w:r>
    </w:p>
    <w:p w:rsidR="00CD1A02" w:rsidRPr="00A64123" w:rsidRDefault="00CD1A02" w:rsidP="00CD1A02">
      <w:pPr>
        <w:pStyle w:val="Corpodetexto"/>
        <w:spacing w:after="0" w:line="360" w:lineRule="auto"/>
        <w:ind w:firstLine="585"/>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lastRenderedPageBreak/>
        <w:t>Para a realização da licitação, a autoridade competente deve designar um pregoeiro, dentre os servidores desta Municipalidade, cujas atribuições incluem o recebimento das propostas e lances, a análise de sua aceitabilidade e sua classificação, bem como a habilitação e a adjudicação do objeto do certame ao licitante vencedor. Anote-se que o servidor designado deve ter realizado capacitação específica para exercer a atribuição.</w:t>
      </w:r>
    </w:p>
    <w:p w:rsidR="00CD1A02" w:rsidRPr="00A64123" w:rsidRDefault="00CD1A02"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Nos autos, consta a designação do pregoeiro e a publicação deste ato, em atendimento à prescrição legal.</w:t>
      </w:r>
    </w:p>
    <w:p w:rsidR="00CD1A02" w:rsidRPr="00A64123" w:rsidRDefault="00CD1A02" w:rsidP="00CD1A02">
      <w:pPr>
        <w:pStyle w:val="Corpodetexto"/>
        <w:spacing w:after="0" w:line="360" w:lineRule="auto"/>
        <w:ind w:firstLine="1134"/>
        <w:jc w:val="both"/>
        <w:rPr>
          <w:rFonts w:ascii="Arial" w:hAnsi="Arial" w:cs="Arial"/>
          <w:sz w:val="24"/>
          <w:szCs w:val="24"/>
        </w:rPr>
      </w:pPr>
    </w:p>
    <w:p w:rsidR="007D394A"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Também deve ser designada, pela mesma autoridade, uma equipe para apoiar o pregoeiro em suas atividades, integrada em sua maioria por servidores ocupantes de cargo efetivo ou emprego da administração, preferencialmente pertencentes ao quadro permanente da Prefeitura Municipal</w:t>
      </w:r>
      <w:r w:rsidR="007D394A" w:rsidRPr="00A64123">
        <w:rPr>
          <w:rFonts w:ascii="Arial" w:hAnsi="Arial" w:cs="Arial"/>
          <w:sz w:val="24"/>
          <w:szCs w:val="24"/>
        </w:rPr>
        <w:t xml:space="preserve"> de Itaúba-MT.</w:t>
      </w:r>
    </w:p>
    <w:p w:rsidR="007D394A" w:rsidRPr="00A64123" w:rsidRDefault="007D394A" w:rsidP="00CD1A02">
      <w:pPr>
        <w:pStyle w:val="Corpodetexto"/>
        <w:spacing w:after="0" w:line="360" w:lineRule="auto"/>
        <w:ind w:firstLine="1134"/>
        <w:jc w:val="both"/>
        <w:rPr>
          <w:rFonts w:ascii="Arial" w:hAnsi="Arial" w:cs="Arial"/>
          <w:sz w:val="24"/>
          <w:szCs w:val="24"/>
        </w:rPr>
      </w:pPr>
    </w:p>
    <w:p w:rsidR="00CD1A02" w:rsidRPr="00A64123" w:rsidRDefault="00CD1A02" w:rsidP="00CD1A02">
      <w:pPr>
        <w:pStyle w:val="Corpodetexto"/>
        <w:spacing w:after="0" w:line="360" w:lineRule="auto"/>
        <w:ind w:firstLine="1134"/>
        <w:jc w:val="both"/>
        <w:rPr>
          <w:rFonts w:ascii="Arial" w:hAnsi="Arial" w:cs="Arial"/>
          <w:sz w:val="24"/>
          <w:szCs w:val="24"/>
        </w:rPr>
      </w:pPr>
      <w:r w:rsidRPr="00A64123">
        <w:rPr>
          <w:rFonts w:ascii="Arial" w:hAnsi="Arial" w:cs="Arial"/>
          <w:sz w:val="24"/>
          <w:szCs w:val="24"/>
        </w:rPr>
        <w:t>Percebe-se preenchido este requisito.</w:t>
      </w:r>
    </w:p>
    <w:p w:rsidR="00CD1A02" w:rsidRPr="00A64123" w:rsidRDefault="00CD1A02" w:rsidP="00CD1A02">
      <w:pPr>
        <w:pStyle w:val="Corpodetexto"/>
        <w:spacing w:after="0"/>
        <w:ind w:firstLine="1134"/>
        <w:jc w:val="both"/>
        <w:rPr>
          <w:rFonts w:ascii="Arial" w:hAnsi="Arial" w:cs="Arial"/>
          <w:b/>
          <w:bCs/>
          <w:sz w:val="24"/>
          <w:szCs w:val="24"/>
        </w:rPr>
      </w:pPr>
    </w:p>
    <w:p w:rsidR="00CD1A02" w:rsidRPr="00A64123" w:rsidRDefault="00A64123" w:rsidP="00CD1A02">
      <w:pPr>
        <w:pStyle w:val="Corpodetexto"/>
        <w:spacing w:after="0"/>
        <w:ind w:firstLine="1134"/>
        <w:jc w:val="both"/>
        <w:rPr>
          <w:rFonts w:ascii="Arial" w:hAnsi="Arial" w:cs="Arial"/>
          <w:sz w:val="24"/>
          <w:szCs w:val="24"/>
        </w:rPr>
      </w:pPr>
      <w:r w:rsidRPr="00A64123">
        <w:rPr>
          <w:rFonts w:ascii="Arial" w:hAnsi="Arial" w:cs="Arial"/>
          <w:b/>
          <w:bCs/>
          <w:sz w:val="24"/>
          <w:szCs w:val="24"/>
        </w:rPr>
        <w:t>d</w:t>
      </w:r>
      <w:r w:rsidR="00CD1A02" w:rsidRPr="00A64123">
        <w:rPr>
          <w:rFonts w:ascii="Arial" w:hAnsi="Arial" w:cs="Arial"/>
          <w:b/>
          <w:bCs/>
          <w:sz w:val="24"/>
          <w:szCs w:val="24"/>
        </w:rPr>
        <w:t>.9. Da minuta do edital e seus anexos</w:t>
      </w:r>
    </w:p>
    <w:p w:rsidR="00CD1A02" w:rsidRPr="00A64123" w:rsidRDefault="00CD1A02" w:rsidP="00CD1A02">
      <w:pPr>
        <w:pStyle w:val="Corpodetexto"/>
        <w:spacing w:before="57" w:after="57"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Segundo o art. 8º, incisos VII e VIII do Decreto</w:t>
      </w:r>
      <w:r w:rsidR="007D394A" w:rsidRPr="00A64123">
        <w:rPr>
          <w:rFonts w:ascii="Arial" w:hAnsi="Arial" w:cs="Arial"/>
          <w:sz w:val="24"/>
          <w:szCs w:val="24"/>
        </w:rPr>
        <w:t xml:space="preserve"> Federal</w:t>
      </w:r>
      <w:r w:rsidRPr="00A64123">
        <w:rPr>
          <w:rFonts w:ascii="Arial" w:hAnsi="Arial" w:cs="Arial"/>
          <w:sz w:val="24"/>
          <w:szCs w:val="24"/>
        </w:rPr>
        <w:t xml:space="preserve"> nº 10.024/2019 o processo licitatório deve ser instruído com a minuta de edital e seus anexos, dentre os quais a minuta do contrato – o que foi atendido.</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Quanto a estes pontos, precipuamente, tanto a minuta do edital quanto a do contrato encontram-se em sintonia com o preconizado pelos art. 40 e 55 da Lei nº. 8.666/93, respectivamente.</w:t>
      </w:r>
    </w:p>
    <w:p w:rsidR="00CD1A02" w:rsidRPr="00A64123" w:rsidRDefault="00CD1A02" w:rsidP="00CD1A02">
      <w:pPr>
        <w:spacing w:line="360" w:lineRule="auto"/>
        <w:ind w:firstLine="1134"/>
        <w:jc w:val="both"/>
        <w:rPr>
          <w:rFonts w:ascii="Arial" w:hAnsi="Arial" w:cs="Arial"/>
          <w:b/>
          <w:bCs/>
          <w:sz w:val="24"/>
          <w:szCs w:val="24"/>
        </w:rPr>
      </w:pPr>
    </w:p>
    <w:p w:rsidR="00A64123" w:rsidRPr="00A64123" w:rsidRDefault="00A64123" w:rsidP="00CD1A02">
      <w:pPr>
        <w:spacing w:line="360" w:lineRule="auto"/>
        <w:ind w:firstLine="1134"/>
        <w:jc w:val="both"/>
        <w:rPr>
          <w:rFonts w:ascii="Arial" w:hAnsi="Arial" w:cs="Arial"/>
          <w:b/>
          <w:bCs/>
          <w:sz w:val="24"/>
          <w:szCs w:val="24"/>
        </w:rPr>
      </w:pPr>
    </w:p>
    <w:p w:rsidR="00A64123" w:rsidRPr="00A64123" w:rsidRDefault="00A64123" w:rsidP="00CD1A02">
      <w:pPr>
        <w:spacing w:line="360" w:lineRule="auto"/>
        <w:ind w:firstLine="1134"/>
        <w:jc w:val="both"/>
        <w:rPr>
          <w:rFonts w:ascii="Arial" w:hAnsi="Arial" w:cs="Arial"/>
          <w:b/>
          <w:bCs/>
          <w:sz w:val="24"/>
          <w:szCs w:val="24"/>
        </w:rPr>
      </w:pPr>
    </w:p>
    <w:p w:rsidR="00A64123" w:rsidRPr="00A64123" w:rsidRDefault="00A64123" w:rsidP="00CD1A02">
      <w:pPr>
        <w:spacing w:line="360" w:lineRule="auto"/>
        <w:ind w:firstLine="1134"/>
        <w:jc w:val="both"/>
        <w:rPr>
          <w:rFonts w:ascii="Arial" w:hAnsi="Arial" w:cs="Arial"/>
          <w:b/>
          <w:bCs/>
          <w:sz w:val="24"/>
          <w:szCs w:val="24"/>
        </w:rPr>
      </w:pPr>
    </w:p>
    <w:p w:rsidR="00A64123" w:rsidRPr="00A64123" w:rsidRDefault="00A64123" w:rsidP="00CD1A02">
      <w:pPr>
        <w:spacing w:line="360" w:lineRule="auto"/>
        <w:ind w:firstLine="1134"/>
        <w:jc w:val="both"/>
        <w:rPr>
          <w:rFonts w:ascii="Arial" w:hAnsi="Arial" w:cs="Arial"/>
          <w:b/>
          <w:bCs/>
          <w:sz w:val="24"/>
          <w:szCs w:val="24"/>
        </w:rPr>
      </w:pPr>
    </w:p>
    <w:p w:rsidR="00CD1A02" w:rsidRPr="00A64123" w:rsidRDefault="00A64123" w:rsidP="00CD1A02">
      <w:pPr>
        <w:spacing w:line="360" w:lineRule="auto"/>
        <w:ind w:firstLine="1134"/>
        <w:jc w:val="both"/>
        <w:rPr>
          <w:rFonts w:ascii="Arial" w:hAnsi="Arial" w:cs="Arial"/>
          <w:sz w:val="24"/>
          <w:szCs w:val="24"/>
        </w:rPr>
      </w:pPr>
      <w:r w:rsidRPr="00A64123">
        <w:rPr>
          <w:rFonts w:ascii="Arial" w:hAnsi="Arial" w:cs="Arial"/>
          <w:b/>
          <w:bCs/>
          <w:sz w:val="24"/>
          <w:szCs w:val="24"/>
        </w:rPr>
        <w:lastRenderedPageBreak/>
        <w:t>E</w:t>
      </w:r>
      <w:r w:rsidR="00CD1A02" w:rsidRPr="00A64123">
        <w:rPr>
          <w:rFonts w:ascii="Arial" w:hAnsi="Arial" w:cs="Arial"/>
          <w:b/>
          <w:bCs/>
          <w:sz w:val="24"/>
          <w:szCs w:val="24"/>
        </w:rPr>
        <w:t>) Das Disposições Gerais;</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 xml:space="preserve">No formado parágrafo único do art. 38 da Lei nº. 8.666/93, citado alhures, </w:t>
      </w:r>
      <w:r w:rsidRPr="00A64123">
        <w:rPr>
          <w:rFonts w:ascii="Arial" w:hAnsi="Arial" w:cs="Arial"/>
          <w:b/>
          <w:sz w:val="24"/>
          <w:szCs w:val="24"/>
        </w:rPr>
        <w:t>comp</w:t>
      </w:r>
      <w:r w:rsidR="00A64123" w:rsidRPr="00A64123">
        <w:rPr>
          <w:rFonts w:ascii="Arial" w:hAnsi="Arial" w:cs="Arial"/>
          <w:b/>
          <w:sz w:val="24"/>
          <w:szCs w:val="24"/>
        </w:rPr>
        <w:t>ete a esta Procuradoria Municipal</w:t>
      </w:r>
      <w:r w:rsidRPr="00A64123">
        <w:rPr>
          <w:rFonts w:ascii="Arial" w:hAnsi="Arial" w:cs="Arial"/>
          <w:b/>
          <w:sz w:val="24"/>
          <w:szCs w:val="24"/>
        </w:rPr>
        <w:t>, tão-somente, o exame prévio quanto aos aspectos jurídico</w:t>
      </w:r>
      <w:r w:rsidR="00A64123" w:rsidRPr="00A64123">
        <w:rPr>
          <w:rFonts w:ascii="Arial" w:hAnsi="Arial" w:cs="Arial"/>
          <w:b/>
          <w:sz w:val="24"/>
          <w:szCs w:val="24"/>
        </w:rPr>
        <w:t>s</w:t>
      </w:r>
      <w:r w:rsidRPr="00A64123">
        <w:rPr>
          <w:rFonts w:ascii="Arial" w:hAnsi="Arial" w:cs="Arial"/>
          <w:b/>
          <w:sz w:val="24"/>
          <w:szCs w:val="24"/>
        </w:rPr>
        <w:t>-formais do procedimento, bem como da respectiva minuta do edital e contrato administrativo a ser celebrado.</w:t>
      </w:r>
    </w:p>
    <w:p w:rsidR="00CD1A02" w:rsidRPr="00A64123" w:rsidRDefault="00CD1A02" w:rsidP="00CD1A02">
      <w:pPr>
        <w:spacing w:line="360" w:lineRule="auto"/>
        <w:ind w:firstLine="1134"/>
        <w:jc w:val="both"/>
        <w:rPr>
          <w:rFonts w:ascii="Arial" w:hAnsi="Arial" w:cs="Arial"/>
          <w:b/>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 xml:space="preserve">Assim, no desempenho da função de assessoramento deste órgão jurídico, cumpre-nos alertar à autoridade Administrativa sobre </w:t>
      </w:r>
      <w:r w:rsidRPr="00A64123">
        <w:rPr>
          <w:rFonts w:ascii="Arial" w:hAnsi="Arial" w:cs="Arial"/>
          <w:b/>
          <w:sz w:val="24"/>
          <w:szCs w:val="24"/>
        </w:rPr>
        <w:t>a importância da devida motivação de seus atos</w:t>
      </w:r>
      <w:r w:rsidRPr="00A64123">
        <w:rPr>
          <w:rFonts w:ascii="Arial" w:hAnsi="Arial" w:cs="Arial"/>
          <w:sz w:val="24"/>
          <w:szCs w:val="24"/>
        </w:rPr>
        <w:t>, na medida em que recairá sobre esta a responsabilidade acerca da oportunidade e conveniência na escolha do objeto e do seu planejamento quantitativo. Destarte, parte-se da premissa de que o</w:t>
      </w:r>
      <w:r w:rsidR="00A64123" w:rsidRPr="00A64123">
        <w:rPr>
          <w:rFonts w:ascii="Arial" w:hAnsi="Arial" w:cs="Arial"/>
          <w:sz w:val="24"/>
          <w:szCs w:val="24"/>
        </w:rPr>
        <w:t>s</w:t>
      </w:r>
      <w:r w:rsidRPr="00A64123">
        <w:rPr>
          <w:rFonts w:ascii="Arial" w:hAnsi="Arial" w:cs="Arial"/>
          <w:sz w:val="24"/>
          <w:szCs w:val="24"/>
        </w:rPr>
        <w:t xml:space="preserve"> Secretário</w:t>
      </w:r>
      <w:r w:rsidR="00A64123" w:rsidRPr="00A64123">
        <w:rPr>
          <w:rFonts w:ascii="Arial" w:hAnsi="Arial" w:cs="Arial"/>
          <w:sz w:val="24"/>
          <w:szCs w:val="24"/>
        </w:rPr>
        <w:t>s</w:t>
      </w:r>
      <w:r w:rsidRPr="00A64123">
        <w:rPr>
          <w:rFonts w:ascii="Arial" w:hAnsi="Arial" w:cs="Arial"/>
          <w:sz w:val="24"/>
          <w:szCs w:val="24"/>
        </w:rPr>
        <w:t xml:space="preserve"> solicitante</w:t>
      </w:r>
      <w:r w:rsidR="00A64123" w:rsidRPr="00A64123">
        <w:rPr>
          <w:rFonts w:ascii="Arial" w:hAnsi="Arial" w:cs="Arial"/>
          <w:sz w:val="24"/>
          <w:szCs w:val="24"/>
        </w:rPr>
        <w:t>s</w:t>
      </w:r>
      <w:r w:rsidRPr="00A64123">
        <w:rPr>
          <w:rFonts w:ascii="Arial" w:hAnsi="Arial" w:cs="Arial"/>
          <w:sz w:val="24"/>
          <w:szCs w:val="24"/>
        </w:rPr>
        <w:t xml:space="preserve"> </w:t>
      </w:r>
      <w:r w:rsidR="00A64123" w:rsidRPr="00A64123">
        <w:rPr>
          <w:rFonts w:ascii="Arial" w:hAnsi="Arial" w:cs="Arial"/>
          <w:sz w:val="24"/>
          <w:szCs w:val="24"/>
        </w:rPr>
        <w:t>se municiaram</w:t>
      </w:r>
      <w:r w:rsidRPr="00A64123">
        <w:rPr>
          <w:rFonts w:ascii="Arial" w:hAnsi="Arial" w:cs="Arial"/>
          <w:sz w:val="24"/>
          <w:szCs w:val="24"/>
        </w:rPr>
        <w:t xml:space="preserve"> dos conhecimentos específicos imprescindíveis para a adequação do objeto às necessidades da Administração Pública, observando os requisitos legalmente impostos.</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Em consequência disso, presume-se que as especificações técnicas contidas no presente certame, inclusive quanto ao detalhamento do objeto da contratação, suas características, requisitos e avaliação do preço estimado, tenham sido regularmente determinadas pela secretaria competente, com base em parâmetros técnicos objetivos, para melhor consecução do interesse público.</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Nesse sentido, importante mencionar e aplicar analogicamente o contido no artigo 176, § 3º do Regimento Interno do TCE-MT (aprovado pela Resolução Normativa nº 10/2017 - TP), que preceitua:</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ind w:left="2268"/>
        <w:jc w:val="both"/>
        <w:rPr>
          <w:rFonts w:ascii="Arial" w:hAnsi="Arial" w:cs="Arial"/>
          <w:sz w:val="24"/>
          <w:szCs w:val="24"/>
        </w:rPr>
      </w:pPr>
      <w:r w:rsidRPr="00A64123">
        <w:rPr>
          <w:rFonts w:ascii="Arial" w:hAnsi="Arial" w:cs="Arial"/>
          <w:sz w:val="24"/>
          <w:szCs w:val="24"/>
        </w:rPr>
        <w:t xml:space="preserve">§ 3º. Será emitido parecer prévio, favorável ou contrário à aprovação das contas anuais, explicitando os elementos e fundamentos de convicção e ressalvando o fato de </w:t>
      </w:r>
      <w:r w:rsidRPr="00A64123">
        <w:rPr>
          <w:rFonts w:ascii="Arial" w:hAnsi="Arial" w:cs="Arial"/>
          <w:b/>
          <w:sz w:val="24"/>
          <w:szCs w:val="24"/>
          <w:u w:val="single"/>
        </w:rPr>
        <w:t>que a manifestação se baseou</w:t>
      </w:r>
      <w:r w:rsidRPr="00A64123">
        <w:rPr>
          <w:rFonts w:ascii="Arial" w:hAnsi="Arial" w:cs="Arial"/>
          <w:sz w:val="24"/>
          <w:szCs w:val="24"/>
        </w:rPr>
        <w:t xml:space="preserve">, </w:t>
      </w:r>
      <w:r w:rsidRPr="00A64123">
        <w:rPr>
          <w:rFonts w:ascii="Arial" w:hAnsi="Arial" w:cs="Arial"/>
          <w:b/>
          <w:sz w:val="24"/>
          <w:szCs w:val="24"/>
          <w:u w:val="single"/>
        </w:rPr>
        <w:t>exclusivamente</w:t>
      </w:r>
      <w:r w:rsidRPr="00A64123">
        <w:rPr>
          <w:rFonts w:ascii="Arial" w:hAnsi="Arial" w:cs="Arial"/>
          <w:sz w:val="24"/>
          <w:szCs w:val="24"/>
        </w:rPr>
        <w:t xml:space="preserve">, </w:t>
      </w:r>
      <w:r w:rsidRPr="00A64123">
        <w:rPr>
          <w:rFonts w:ascii="Arial" w:hAnsi="Arial" w:cs="Arial"/>
          <w:b/>
          <w:sz w:val="24"/>
          <w:szCs w:val="24"/>
          <w:u w:val="single"/>
        </w:rPr>
        <w:t>no exame de documentos de veracidade ideológica presumida</w:t>
      </w:r>
      <w:r w:rsidRPr="00A64123">
        <w:rPr>
          <w:rFonts w:ascii="Arial" w:hAnsi="Arial" w:cs="Arial"/>
          <w:sz w:val="24"/>
          <w:szCs w:val="24"/>
        </w:rPr>
        <w:t>. (Grifo nosso)</w:t>
      </w:r>
    </w:p>
    <w:p w:rsidR="00CD1A02" w:rsidRPr="00A64123" w:rsidRDefault="00CD1A02" w:rsidP="00CD1A02">
      <w:pPr>
        <w:ind w:left="2835"/>
        <w:jc w:val="both"/>
        <w:rPr>
          <w:rFonts w:ascii="Arial" w:hAnsi="Arial" w:cs="Arial"/>
          <w:sz w:val="24"/>
          <w:szCs w:val="24"/>
        </w:rPr>
      </w:pPr>
    </w:p>
    <w:p w:rsidR="00CD1A02" w:rsidRPr="00A64123" w:rsidRDefault="00CD1A02" w:rsidP="00CD1A02">
      <w:pPr>
        <w:ind w:left="2835"/>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u w:val="single"/>
        </w:rPr>
        <w:lastRenderedPageBreak/>
        <w:t>É importante consignar, por fim, que quando da realização da fase extern</w:t>
      </w:r>
      <w:r w:rsidR="00A64123" w:rsidRPr="00A64123">
        <w:rPr>
          <w:rFonts w:ascii="Arial" w:hAnsi="Arial" w:cs="Arial"/>
          <w:sz w:val="24"/>
          <w:szCs w:val="24"/>
          <w:u w:val="single"/>
        </w:rPr>
        <w:t>a, deve o Pregoeiro</w:t>
      </w:r>
      <w:r w:rsidRPr="00A64123">
        <w:rPr>
          <w:rFonts w:ascii="Arial" w:hAnsi="Arial" w:cs="Arial"/>
          <w:sz w:val="24"/>
          <w:szCs w:val="24"/>
          <w:u w:val="single"/>
        </w:rPr>
        <w:t xml:space="preserve"> e respectiva equipe de apoio ater-se ao disposto pelo art. 4º da Lei 10.520/02, o qual norteará na adoção de todos os pontos a serem realizados, dentre os quais, a observância de que, entre a publicação do Edital e o recebimento das propostas deverá haver prazo mínimo de 08 (oito) dias úteis.</w:t>
      </w:r>
    </w:p>
    <w:p w:rsidR="00CD1A02" w:rsidRPr="00A64123" w:rsidRDefault="00CD1A02" w:rsidP="00CD1A02">
      <w:pPr>
        <w:spacing w:line="360" w:lineRule="auto"/>
        <w:ind w:firstLine="1134"/>
        <w:jc w:val="both"/>
        <w:rPr>
          <w:rFonts w:ascii="Arial" w:hAnsi="Arial" w:cs="Arial"/>
          <w:b/>
          <w:bCs/>
          <w:sz w:val="24"/>
          <w:szCs w:val="24"/>
        </w:rPr>
      </w:pPr>
    </w:p>
    <w:p w:rsidR="00CD1A02" w:rsidRPr="00A64123" w:rsidRDefault="00CD1A02" w:rsidP="00A64123">
      <w:pPr>
        <w:pStyle w:val="Default"/>
        <w:numPr>
          <w:ilvl w:val="0"/>
          <w:numId w:val="1"/>
        </w:numPr>
        <w:spacing w:before="120" w:after="120" w:line="360" w:lineRule="auto"/>
        <w:ind w:left="851" w:hanging="851"/>
        <w:jc w:val="both"/>
        <w:rPr>
          <w:b/>
          <w:caps/>
          <w:color w:val="auto"/>
        </w:rPr>
      </w:pPr>
      <w:r w:rsidRPr="00A64123">
        <w:rPr>
          <w:b/>
          <w:caps/>
          <w:color w:val="auto"/>
        </w:rPr>
        <w:t>DA CONCLUSÃO</w:t>
      </w:r>
    </w:p>
    <w:p w:rsidR="00CD1A02" w:rsidRPr="00A64123" w:rsidRDefault="00CD1A02" w:rsidP="00CD1A02">
      <w:pPr>
        <w:spacing w:line="360" w:lineRule="auto"/>
        <w:ind w:firstLine="142"/>
        <w:jc w:val="center"/>
        <w:rPr>
          <w:rFonts w:ascii="Arial" w:hAnsi="Arial" w:cs="Arial"/>
          <w:b/>
          <w:bCs/>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Ante o exposto, restrito aos aspectos jurídico-formais da matéria, abalizado nos elementos que acompanham a Solicitação apresentada pelo C</w:t>
      </w:r>
      <w:r w:rsidR="00A64123" w:rsidRPr="00A64123">
        <w:rPr>
          <w:rFonts w:ascii="Arial" w:hAnsi="Arial" w:cs="Arial"/>
          <w:sz w:val="24"/>
          <w:szCs w:val="24"/>
        </w:rPr>
        <w:t>onsulente, este Procurador Municipal</w:t>
      </w:r>
      <w:r w:rsidRPr="00A64123">
        <w:rPr>
          <w:rFonts w:ascii="Arial" w:hAnsi="Arial" w:cs="Arial"/>
          <w:sz w:val="24"/>
          <w:szCs w:val="24"/>
        </w:rPr>
        <w:t xml:space="preserve"> opina </w:t>
      </w:r>
      <w:r w:rsidRPr="00A64123">
        <w:rPr>
          <w:rFonts w:ascii="Arial" w:hAnsi="Arial" w:cs="Arial"/>
          <w:b/>
          <w:sz w:val="24"/>
          <w:szCs w:val="24"/>
          <w:u w:val="single"/>
        </w:rPr>
        <w:t>FAVORAVELMENTE</w:t>
      </w:r>
      <w:r w:rsidRPr="00A64123">
        <w:rPr>
          <w:rFonts w:ascii="Arial" w:hAnsi="Arial" w:cs="Arial"/>
          <w:sz w:val="24"/>
          <w:szCs w:val="24"/>
        </w:rPr>
        <w:t xml:space="preserve"> ao </w:t>
      </w:r>
      <w:r w:rsidRPr="00A64123">
        <w:rPr>
          <w:rFonts w:ascii="Arial" w:hAnsi="Arial" w:cs="Arial"/>
          <w:bCs/>
          <w:iCs/>
          <w:color w:val="000000"/>
          <w:spacing w:val="-1"/>
          <w:w w:val="106"/>
          <w:sz w:val="24"/>
          <w:szCs w:val="24"/>
        </w:rPr>
        <w:t xml:space="preserve">Pregão Eletrônico para a </w:t>
      </w:r>
      <w:r w:rsidR="00A64123" w:rsidRPr="00A64123">
        <w:rPr>
          <w:rFonts w:ascii="Arial" w:hAnsi="Arial" w:cs="Arial"/>
          <w:bCs/>
          <w:iCs/>
          <w:color w:val="000000"/>
          <w:spacing w:val="-1"/>
          <w:w w:val="106"/>
          <w:sz w:val="24"/>
          <w:szCs w:val="24"/>
        </w:rPr>
        <w:t>futura e eventual contratação de empresa especializada em fornecimento de passagens aéreas e terrestres em todo o território nacional para atender as demandas das secretarias municipais de Itaúba-MT</w:t>
      </w:r>
      <w:r w:rsidRPr="00A64123">
        <w:rPr>
          <w:rFonts w:ascii="Arial" w:hAnsi="Arial" w:cs="Arial"/>
          <w:sz w:val="24"/>
          <w:szCs w:val="24"/>
        </w:rPr>
        <w:t xml:space="preserve">, condicionado às recomendações delineadas na presente resposta. </w:t>
      </w:r>
    </w:p>
    <w:p w:rsidR="00CD1A02" w:rsidRPr="00A64123" w:rsidRDefault="00CD1A02" w:rsidP="00CD1A02">
      <w:pPr>
        <w:spacing w:line="360" w:lineRule="auto"/>
        <w:ind w:firstLine="1134"/>
        <w:jc w:val="both"/>
        <w:rPr>
          <w:rFonts w:ascii="Arial" w:hAnsi="Arial" w:cs="Arial"/>
          <w:sz w:val="24"/>
          <w:szCs w:val="24"/>
        </w:rPr>
      </w:pPr>
    </w:p>
    <w:p w:rsidR="00CD1A02" w:rsidRPr="00A64123" w:rsidRDefault="00CD1A02" w:rsidP="00CD1A02">
      <w:pPr>
        <w:spacing w:line="360" w:lineRule="auto"/>
        <w:ind w:firstLine="1134"/>
        <w:jc w:val="both"/>
        <w:rPr>
          <w:rFonts w:ascii="Arial" w:hAnsi="Arial" w:cs="Arial"/>
          <w:sz w:val="24"/>
          <w:szCs w:val="24"/>
        </w:rPr>
      </w:pPr>
      <w:r w:rsidRPr="00A64123">
        <w:rPr>
          <w:rFonts w:ascii="Arial" w:hAnsi="Arial" w:cs="Arial"/>
          <w:sz w:val="24"/>
          <w:szCs w:val="24"/>
        </w:rPr>
        <w:t xml:space="preserve">É o parecer, </w:t>
      </w:r>
      <w:r w:rsidRPr="00A64123">
        <w:rPr>
          <w:rFonts w:ascii="Arial" w:hAnsi="Arial" w:cs="Arial"/>
          <w:i/>
          <w:sz w:val="24"/>
          <w:szCs w:val="24"/>
        </w:rPr>
        <w:t>s.m.j.</w:t>
      </w:r>
    </w:p>
    <w:p w:rsidR="00CD1A02" w:rsidRPr="00A64123" w:rsidRDefault="00A64123" w:rsidP="00CD1A02">
      <w:pPr>
        <w:spacing w:before="100" w:after="100" w:line="360" w:lineRule="auto"/>
        <w:ind w:left="708" w:firstLine="2127"/>
        <w:jc w:val="right"/>
        <w:rPr>
          <w:rFonts w:ascii="Arial" w:hAnsi="Arial" w:cs="Arial"/>
          <w:sz w:val="24"/>
          <w:szCs w:val="24"/>
        </w:rPr>
      </w:pPr>
      <w:r w:rsidRPr="00A64123">
        <w:rPr>
          <w:rFonts w:ascii="Arial" w:hAnsi="Arial" w:cs="Arial"/>
          <w:sz w:val="24"/>
          <w:szCs w:val="24"/>
        </w:rPr>
        <w:t>Itaúba</w:t>
      </w:r>
      <w:r w:rsidR="00CD1A02" w:rsidRPr="00A64123">
        <w:rPr>
          <w:rFonts w:ascii="Arial" w:hAnsi="Arial" w:cs="Arial"/>
          <w:sz w:val="24"/>
          <w:szCs w:val="24"/>
        </w:rPr>
        <w:t xml:space="preserve">-MT, </w:t>
      </w:r>
      <w:r w:rsidR="00663284">
        <w:rPr>
          <w:rFonts w:ascii="Arial" w:hAnsi="Arial" w:cs="Arial"/>
          <w:sz w:val="24"/>
          <w:szCs w:val="24"/>
        </w:rPr>
        <w:t>08</w:t>
      </w:r>
      <w:bookmarkStart w:id="0" w:name="_GoBack"/>
      <w:bookmarkEnd w:id="0"/>
      <w:r w:rsidR="00CD1A02" w:rsidRPr="00A64123">
        <w:rPr>
          <w:rFonts w:ascii="Arial" w:hAnsi="Arial" w:cs="Arial"/>
          <w:sz w:val="24"/>
          <w:szCs w:val="24"/>
        </w:rPr>
        <w:t xml:space="preserve"> de </w:t>
      </w:r>
      <w:r w:rsidRPr="00A64123">
        <w:rPr>
          <w:rFonts w:ascii="Arial" w:hAnsi="Arial" w:cs="Arial"/>
          <w:sz w:val="24"/>
          <w:szCs w:val="24"/>
        </w:rPr>
        <w:t>novembro</w:t>
      </w:r>
      <w:r w:rsidR="00CD1A02" w:rsidRPr="00A64123">
        <w:rPr>
          <w:rFonts w:ascii="Arial" w:hAnsi="Arial" w:cs="Arial"/>
          <w:sz w:val="24"/>
          <w:szCs w:val="24"/>
        </w:rPr>
        <w:t xml:space="preserve"> de 2022.</w:t>
      </w:r>
    </w:p>
    <w:p w:rsidR="00CD1A02" w:rsidRPr="00A64123" w:rsidRDefault="00CD1A02" w:rsidP="00CD1A02">
      <w:pPr>
        <w:spacing w:before="100" w:after="100" w:line="360" w:lineRule="auto"/>
        <w:ind w:left="708" w:firstLine="2127"/>
        <w:jc w:val="right"/>
        <w:rPr>
          <w:rFonts w:ascii="Arial" w:hAnsi="Arial" w:cs="Arial"/>
          <w:sz w:val="24"/>
          <w:szCs w:val="24"/>
        </w:rPr>
      </w:pPr>
    </w:p>
    <w:p w:rsidR="00A64123" w:rsidRPr="00A64123" w:rsidRDefault="00A64123" w:rsidP="00CD1A02">
      <w:pPr>
        <w:spacing w:before="100" w:after="100" w:line="360" w:lineRule="auto"/>
        <w:ind w:left="708" w:firstLine="2127"/>
        <w:jc w:val="right"/>
        <w:rPr>
          <w:rFonts w:ascii="Arial" w:hAnsi="Arial" w:cs="Arial"/>
          <w:sz w:val="24"/>
          <w:szCs w:val="24"/>
        </w:rPr>
      </w:pPr>
    </w:p>
    <w:p w:rsidR="00CD1A02" w:rsidRPr="00A64123" w:rsidRDefault="00A64123" w:rsidP="00CD1A02">
      <w:pPr>
        <w:ind w:left="708"/>
        <w:jc w:val="center"/>
        <w:rPr>
          <w:rFonts w:ascii="Arial" w:hAnsi="Arial" w:cs="Arial"/>
          <w:sz w:val="24"/>
          <w:szCs w:val="24"/>
        </w:rPr>
      </w:pPr>
      <w:bookmarkStart w:id="1" w:name="__DdeLink__2252_3188855582"/>
      <w:bookmarkEnd w:id="1"/>
      <w:r w:rsidRPr="00A64123">
        <w:rPr>
          <w:rFonts w:ascii="Arial" w:hAnsi="Arial" w:cs="Arial"/>
          <w:b/>
          <w:i/>
          <w:sz w:val="24"/>
          <w:szCs w:val="24"/>
        </w:rPr>
        <w:t>Fernando Salles Micheletti</w:t>
      </w:r>
    </w:p>
    <w:p w:rsidR="00CD1A02" w:rsidRPr="00A64123" w:rsidRDefault="00A64123" w:rsidP="00CD1A02">
      <w:pPr>
        <w:ind w:left="708"/>
        <w:jc w:val="center"/>
        <w:rPr>
          <w:rFonts w:ascii="Arial" w:hAnsi="Arial" w:cs="Arial"/>
          <w:sz w:val="24"/>
          <w:szCs w:val="24"/>
        </w:rPr>
      </w:pPr>
      <w:r w:rsidRPr="00A64123">
        <w:rPr>
          <w:rFonts w:ascii="Arial" w:hAnsi="Arial" w:cs="Arial"/>
          <w:sz w:val="24"/>
          <w:szCs w:val="24"/>
        </w:rPr>
        <w:t>Procurador Municipal</w:t>
      </w:r>
      <w:r w:rsidR="00CD1A02" w:rsidRPr="00A64123">
        <w:rPr>
          <w:rFonts w:ascii="Arial" w:hAnsi="Arial" w:cs="Arial"/>
          <w:sz w:val="24"/>
          <w:szCs w:val="24"/>
        </w:rPr>
        <w:t xml:space="preserve"> </w:t>
      </w:r>
    </w:p>
    <w:p w:rsidR="00CD1A02" w:rsidRPr="00A64123" w:rsidRDefault="00CD1A02" w:rsidP="00CD1A02">
      <w:pPr>
        <w:spacing w:line="360" w:lineRule="auto"/>
        <w:ind w:left="708"/>
        <w:jc w:val="center"/>
      </w:pPr>
      <w:r w:rsidRPr="00A64123">
        <w:rPr>
          <w:noProof/>
        </w:rPr>
        <mc:AlternateContent>
          <mc:Choice Requires="wps">
            <w:drawing>
              <wp:anchor distT="0" distB="0" distL="0" distR="0" simplePos="0" relativeHeight="251659264" behindDoc="0" locked="0" layoutInCell="1" allowOverlap="1" wp14:anchorId="595E692B" wp14:editId="15F56958">
                <wp:simplePos x="0" y="0"/>
                <wp:positionH relativeFrom="column">
                  <wp:posOffset>3757295</wp:posOffset>
                </wp:positionH>
                <wp:positionV relativeFrom="paragraph">
                  <wp:posOffset>119380</wp:posOffset>
                </wp:positionV>
                <wp:extent cx="2357755" cy="1089660"/>
                <wp:effectExtent l="0" t="0" r="0" b="0"/>
                <wp:wrapNone/>
                <wp:docPr id="3" name="Forma1"/>
                <wp:cNvGraphicFramePr/>
                <a:graphic xmlns:a="http://schemas.openxmlformats.org/drawingml/2006/main">
                  <a:graphicData uri="http://schemas.microsoft.com/office/word/2010/wordprocessingShape">
                    <wps:wsp>
                      <wps:cNvSpPr/>
                      <wps:spPr>
                        <a:xfrm>
                          <a:off x="0" y="0"/>
                          <a:ext cx="2357280" cy="1089000"/>
                        </a:xfrm>
                        <a:prstGeom prst="rect">
                          <a:avLst/>
                        </a:prstGeom>
                        <a:noFill/>
                        <a:ln w="17640">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28A4CD05" id="Forma1" o:spid="_x0000_s1026" style="position:absolute;margin-left:295.85pt;margin-top:9.4pt;width:185.65pt;height:85.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" filled="f" stroked="f" strokeweight=".49mm">
                <v:stroke joinstyle="round"/>
              </v:rect>
            </w:pict>
          </mc:Fallback>
        </mc:AlternateContent>
      </w:r>
      <w:r w:rsidRPr="00A64123">
        <w:rPr>
          <w:rFonts w:ascii="Arial" w:hAnsi="Arial" w:cs="Arial"/>
          <w:smallCaps/>
        </w:rPr>
        <w:t>OAB/MT nº 2</w:t>
      </w:r>
      <w:r w:rsidR="00A64123" w:rsidRPr="00A64123">
        <w:rPr>
          <w:rFonts w:ascii="Arial" w:hAnsi="Arial" w:cs="Arial"/>
          <w:smallCaps/>
        </w:rPr>
        <w:t>4</w:t>
      </w:r>
      <w:r w:rsidRPr="00A64123">
        <w:rPr>
          <w:rFonts w:ascii="Arial" w:hAnsi="Arial" w:cs="Arial"/>
          <w:smallCaps/>
        </w:rPr>
        <w:t>.1</w:t>
      </w:r>
      <w:r w:rsidR="00A64123" w:rsidRPr="00A64123">
        <w:rPr>
          <w:rFonts w:ascii="Arial" w:hAnsi="Arial" w:cs="Arial"/>
          <w:smallCaps/>
        </w:rPr>
        <w:t>58</w:t>
      </w:r>
      <w:r w:rsidRPr="00A64123">
        <w:rPr>
          <w:rFonts w:ascii="Arial" w:hAnsi="Arial" w:cs="Arial"/>
          <w:smallCaps/>
        </w:rPr>
        <w:t>/O</w:t>
      </w:r>
    </w:p>
    <w:p w:rsidR="00CD1A02" w:rsidRPr="00A64123" w:rsidRDefault="00CD1A02" w:rsidP="00CD1A02">
      <w:pPr>
        <w:spacing w:line="360" w:lineRule="auto"/>
        <w:ind w:left="708"/>
        <w:jc w:val="center"/>
      </w:pPr>
    </w:p>
    <w:p w:rsidR="00CD1A02" w:rsidRPr="00A64123" w:rsidRDefault="00CD1A02" w:rsidP="009C4168">
      <w:pPr>
        <w:spacing w:line="360" w:lineRule="auto"/>
        <w:ind w:firstLine="1134"/>
        <w:jc w:val="both"/>
        <w:rPr>
          <w:rFonts w:ascii="Arial" w:hAnsi="Arial" w:cs="Arial"/>
          <w:sz w:val="24"/>
          <w:szCs w:val="24"/>
        </w:rPr>
      </w:pPr>
    </w:p>
    <w:p w:rsidR="00352A5D" w:rsidRPr="00A648FF" w:rsidRDefault="001A00B4" w:rsidP="009A4CCB">
      <w:pPr>
        <w:spacing w:line="360" w:lineRule="auto"/>
        <w:ind w:firstLine="1134"/>
        <w:jc w:val="both"/>
        <w:rPr>
          <w:rFonts w:ascii="Arial" w:hAnsi="Arial" w:cs="Arial"/>
          <w:sz w:val="24"/>
          <w:szCs w:val="24"/>
        </w:rPr>
      </w:pPr>
      <w:r w:rsidRPr="00A64123">
        <w:rPr>
          <w:noProof/>
        </w:rPr>
        <mc:AlternateContent>
          <mc:Choice Requires="wps">
            <w:drawing>
              <wp:anchor distT="0" distB="0" distL="0" distR="0" simplePos="0" relativeHeight="251660288" behindDoc="0" locked="0" layoutInCell="1" allowOverlap="1" wp14:anchorId="02D71CD4" wp14:editId="1179ABEA">
                <wp:simplePos x="0" y="0"/>
                <wp:positionH relativeFrom="column">
                  <wp:posOffset>3757295</wp:posOffset>
                </wp:positionH>
                <wp:positionV relativeFrom="paragraph">
                  <wp:posOffset>199390</wp:posOffset>
                </wp:positionV>
                <wp:extent cx="2357755" cy="1086485"/>
                <wp:effectExtent l="0" t="0" r="0" b="0"/>
                <wp:wrapNone/>
                <wp:docPr id="5" name="Quadro1"/>
                <wp:cNvGraphicFramePr/>
                <a:graphic xmlns:a="http://schemas.openxmlformats.org/drawingml/2006/main">
                  <a:graphicData uri="http://schemas.microsoft.com/office/word/2010/wordprocessingShape">
                    <wps:wsp>
                      <wps:cNvSpPr/>
                      <wps:spPr>
                        <a:xfrm>
                          <a:off x="0" y="0"/>
                          <a:ext cx="2357755" cy="1086485"/>
                        </a:xfrm>
                        <a:prstGeom prst="rect">
                          <a:avLst/>
                        </a:prstGeom>
                        <a:noFill/>
                        <a:ln>
                          <a:noFill/>
                        </a:ln>
                      </wps:spPr>
                      <wps:style>
                        <a:lnRef idx="0">
                          <a:scrgbClr r="0" g="0" b="0"/>
                        </a:lnRef>
                        <a:fillRef idx="0">
                          <a:scrgbClr r="0" g="0" b="0"/>
                        </a:fillRef>
                        <a:effectRef idx="0">
                          <a:scrgbClr r="0" g="0" b="0"/>
                        </a:effectRef>
                        <a:fontRef idx="minor"/>
                      </wps:style>
                      <wps:txbx>
                        <w:txbxContent>
                          <w:p w:rsidR="00CD1A02" w:rsidRDefault="00CD1A02" w:rsidP="00CD1A02">
                            <w:pPr>
                              <w:pStyle w:val="Contedodoquadro"/>
                              <w:rPr>
                                <w:color w:val="000000"/>
                              </w:rPr>
                            </w:pPr>
                            <w:r>
                              <w:rPr>
                                <w:rFonts w:ascii="Arial" w:hAnsi="Arial" w:cs="Lucida Sans"/>
                                <w:color w:val="000000"/>
                              </w:rPr>
                              <w:t>Preenchimento pelo Consulente</w:t>
                            </w:r>
                          </w:p>
                          <w:p w:rsidR="00CD1A02" w:rsidRDefault="00CD1A02" w:rsidP="00CD1A02">
                            <w:pPr>
                              <w:pStyle w:val="Contedodoquadro"/>
                              <w:rPr>
                                <w:color w:val="000000"/>
                              </w:rPr>
                            </w:pPr>
                          </w:p>
                          <w:p w:rsidR="00CD1A02" w:rsidRDefault="00CD1A02" w:rsidP="00CD1A02">
                            <w:pPr>
                              <w:pStyle w:val="Contedodoquadro"/>
                              <w:rPr>
                                <w:color w:val="000000"/>
                              </w:rPr>
                            </w:pPr>
                            <w:r>
                              <w:rPr>
                                <w:rFonts w:ascii="Arial" w:hAnsi="Arial" w:cs="Lucida Sans"/>
                                <w:color w:val="000000"/>
                              </w:rPr>
                              <w:t>Recebido em ___/___/___</w:t>
                            </w:r>
                          </w:p>
                          <w:p w:rsidR="00CD1A02" w:rsidRDefault="00CD1A02" w:rsidP="00CD1A02">
                            <w:pPr>
                              <w:pStyle w:val="Contedodoquadro"/>
                              <w:rPr>
                                <w:color w:val="000000"/>
                              </w:rPr>
                            </w:pPr>
                          </w:p>
                          <w:p w:rsidR="00CD1A02" w:rsidRDefault="00CD1A02" w:rsidP="00CD1A02">
                            <w:pPr>
                              <w:pStyle w:val="Contedodoquadro"/>
                              <w:rPr>
                                <w:color w:val="000000"/>
                              </w:rPr>
                            </w:pPr>
                            <w:r>
                              <w:rPr>
                                <w:rFonts w:ascii="Arial" w:hAnsi="Arial" w:cs="Lucida Sans"/>
                                <w:color w:val="000000"/>
                              </w:rPr>
                              <w:t>Assinatura _________________</w:t>
                            </w:r>
                          </w:p>
                          <w:p w:rsidR="00CD1A02" w:rsidRDefault="00CD1A02" w:rsidP="00CD1A02">
                            <w:pPr>
                              <w:pStyle w:val="Contedodoquadro"/>
                            </w:pPr>
                          </w:p>
                        </w:txbxContent>
                      </wps:txbx>
                      <wps:bodyPr lIns="9000" tIns="9000" rIns="9000" bIns="9000">
                        <a:spAutoFit/>
                      </wps:bodyPr>
                    </wps:wsp>
                  </a:graphicData>
                </a:graphic>
              </wp:anchor>
            </w:drawing>
          </mc:Choice>
          <mc:Fallback>
            <w:pict>
              <v:rect w14:anchorId="02D71CD4" id="Quadro1" o:spid="_x0000_s1026" style="position:absolute;left:0;text-align:left;margin-left:295.85pt;margin-top:15.7pt;width:185.65pt;height:85.5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" filled="f" stroked="f">
                <v:textbox style="mso-fit-shape-to-text:t" inset=".25mm,.25mm,.25mm,.25mm">
                  <w:txbxContent>
                    <w:p w:rsidR="00CD1A02" w:rsidRDefault="00CD1A02" w:rsidP="00CD1A02">
                      <w:pPr>
                        <w:pStyle w:val="Contedodoquadro"/>
                        <w:rPr>
                          <w:color w:val="000000"/>
                        </w:rPr>
                      </w:pPr>
                      <w:r>
                        <w:rPr>
                          <w:rFonts w:ascii="Arial" w:hAnsi="Arial" w:cs="Lucida Sans"/>
                          <w:color w:val="000000"/>
                        </w:rPr>
                        <w:t>Preenchimento pelo Consulente</w:t>
                      </w:r>
                    </w:p>
                    <w:p w:rsidR="00CD1A02" w:rsidRDefault="00CD1A02" w:rsidP="00CD1A02">
                      <w:pPr>
                        <w:pStyle w:val="Contedodoquadro"/>
                        <w:rPr>
                          <w:color w:val="000000"/>
                        </w:rPr>
                      </w:pPr>
                    </w:p>
                    <w:p w:rsidR="00CD1A02" w:rsidRDefault="00CD1A02" w:rsidP="00CD1A02">
                      <w:pPr>
                        <w:pStyle w:val="Contedodoquadro"/>
                        <w:rPr>
                          <w:color w:val="000000"/>
                        </w:rPr>
                      </w:pPr>
                      <w:r>
                        <w:rPr>
                          <w:rFonts w:ascii="Arial" w:hAnsi="Arial" w:cs="Lucida Sans"/>
                          <w:color w:val="000000"/>
                        </w:rPr>
                        <w:t>Recebido em ___/___/___</w:t>
                      </w:r>
                    </w:p>
                    <w:p w:rsidR="00CD1A02" w:rsidRDefault="00CD1A02" w:rsidP="00CD1A02">
                      <w:pPr>
                        <w:pStyle w:val="Contedodoquadro"/>
                        <w:rPr>
                          <w:color w:val="000000"/>
                        </w:rPr>
                      </w:pPr>
                    </w:p>
                    <w:p w:rsidR="00CD1A02" w:rsidRDefault="00CD1A02" w:rsidP="00CD1A02">
                      <w:pPr>
                        <w:pStyle w:val="Contedodoquadro"/>
                        <w:rPr>
                          <w:color w:val="000000"/>
                        </w:rPr>
                      </w:pPr>
                      <w:r>
                        <w:rPr>
                          <w:rFonts w:ascii="Arial" w:hAnsi="Arial" w:cs="Lucida Sans"/>
                          <w:color w:val="000000"/>
                        </w:rPr>
                        <w:t>Assinatura _________________</w:t>
                      </w:r>
                    </w:p>
                    <w:p w:rsidR="00CD1A02" w:rsidRDefault="00CD1A02" w:rsidP="00CD1A02">
                      <w:pPr>
                        <w:pStyle w:val="Contedodoquadro"/>
                      </w:pPr>
                    </w:p>
                  </w:txbxContent>
                </v:textbox>
              </v:rect>
            </w:pict>
          </mc:Fallback>
        </mc:AlternateContent>
      </w:r>
    </w:p>
    <w:sectPr w:rsidR="00352A5D" w:rsidRPr="00A648FF" w:rsidSect="00756139">
      <w:headerReference w:type="even" r:id="rId8"/>
      <w:headerReference w:type="default" r:id="rId9"/>
      <w:footerReference w:type="even" r:id="rId10"/>
      <w:footerReference w:type="default" r:id="rId11"/>
      <w:headerReference w:type="first" r:id="rId12"/>
      <w:pgSz w:w="11907" w:h="16840" w:code="9"/>
      <w:pgMar w:top="899" w:right="1134" w:bottom="360" w:left="1134" w:header="720" w:footer="113"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ED9" w:rsidRDefault="001A2ED9" w:rsidP="00352A5D">
      <w:r>
        <w:separator/>
      </w:r>
    </w:p>
  </w:endnote>
  <w:endnote w:type="continuationSeparator" w:id="0">
    <w:p w:rsidR="001A2ED9" w:rsidRDefault="001A2ED9" w:rsidP="0035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39" w:rsidRDefault="0075613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56139" w:rsidRDefault="0075613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39" w:rsidRDefault="00756139" w:rsidP="00756139">
    <w:pPr>
      <w:pStyle w:val="Cabealho"/>
      <w:tabs>
        <w:tab w:val="clear" w:pos="8838"/>
        <w:tab w:val="left" w:pos="735"/>
        <w:tab w:val="left" w:pos="765"/>
        <w:tab w:val="center" w:pos="4819"/>
        <w:tab w:val="right" w:pos="9350"/>
      </w:tabs>
      <w:jc w:val="center"/>
      <w:rPr>
        <w:rFonts w:ascii="Lucida Bright" w:hAnsi="Lucida Bright"/>
        <w:b/>
        <w:bCs/>
      </w:rPr>
    </w:pPr>
    <w:r>
      <w:rPr>
        <w:rFonts w:ascii="Lucida Bright" w:hAnsi="Lucida Bright"/>
        <w:b/>
        <w:bCs/>
        <w:noProof/>
      </w:rPr>
      <mc:AlternateContent>
        <mc:Choice Requires="wps">
          <w:drawing>
            <wp:anchor distT="0" distB="0" distL="114300" distR="114300" simplePos="0" relativeHeight="251663360" behindDoc="0" locked="0" layoutInCell="0" allowOverlap="1" wp14:anchorId="72661F61" wp14:editId="52CEC911">
              <wp:simplePos x="0" y="0"/>
              <wp:positionH relativeFrom="page">
                <wp:posOffset>47625</wp:posOffset>
              </wp:positionH>
              <wp:positionV relativeFrom="page">
                <wp:posOffset>9669145</wp:posOffset>
              </wp:positionV>
              <wp:extent cx="7887335" cy="160655"/>
              <wp:effectExtent l="19050" t="19050" r="43180" b="4889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7335" cy="16065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63F6BDE" id="Retângulo 2" o:spid="_x0000_s1026" style="position:absolute;margin-left:3.75pt;margin-top:761.35pt;width:621.05pt;height:12.65pt;z-index:25166336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" o:allowincell="f" fillcolor="#9bbb59" strokecolor="#f2f2f2" strokeweight="3pt">
              <v:shadow on="t" color="#4e6128" opacity=".5" offset="1pt"/>
              <w10:wrap anchorx="page" anchory="page"/>
            </v:rect>
          </w:pict>
        </mc:Fallback>
      </mc:AlternateContent>
    </w:r>
    <w:r>
      <w:rPr>
        <w:rFonts w:ascii="Lucida Bright" w:hAnsi="Lucida Bright"/>
        <w:b/>
        <w:bCs/>
      </w:rPr>
      <w:t xml:space="preserve">Avenida Tancredo Neves,799, Centro </w:t>
    </w:r>
    <w:r w:rsidRPr="00AB349D">
      <w:rPr>
        <w:rFonts w:ascii="Lucida Bright" w:hAnsi="Lucida Bright"/>
        <w:b/>
        <w:bCs/>
      </w:rPr>
      <w:t>– CEP 78.510-000</w:t>
    </w:r>
  </w:p>
  <w:p w:rsidR="00756139" w:rsidRPr="008A7460" w:rsidRDefault="00756139" w:rsidP="00756139">
    <w:pPr>
      <w:pStyle w:val="Cabealho"/>
      <w:tabs>
        <w:tab w:val="clear" w:pos="8838"/>
        <w:tab w:val="left" w:pos="735"/>
        <w:tab w:val="left" w:pos="765"/>
        <w:tab w:val="center" w:pos="4819"/>
        <w:tab w:val="right" w:pos="9350"/>
      </w:tabs>
      <w:jc w:val="center"/>
      <w:rPr>
        <w:rFonts w:ascii="Lucida Bright" w:hAnsi="Lucida Bright"/>
        <w:b/>
        <w:bCs/>
      </w:rPr>
    </w:pPr>
    <w:r w:rsidRPr="00AB349D">
      <w:rPr>
        <w:rFonts w:ascii="Lucida Bright" w:hAnsi="Lucida Bright"/>
        <w:b/>
        <w:bCs/>
      </w:rPr>
      <w:t>CNPJ: 03.238.961/0001-27</w:t>
    </w:r>
  </w:p>
  <w:p w:rsidR="00756139" w:rsidRDefault="00756139" w:rsidP="00756139">
    <w:pPr>
      <w:pStyle w:val="Cabealho"/>
      <w:tabs>
        <w:tab w:val="left" w:pos="555"/>
        <w:tab w:val="left" w:pos="855"/>
        <w:tab w:val="left" w:pos="1125"/>
        <w:tab w:val="center" w:pos="4819"/>
      </w:tabs>
      <w:jc w:val="center"/>
      <w:rPr>
        <w:rFonts w:ascii="Lucida Bright" w:hAnsi="Lucida Bright"/>
        <w:b/>
        <w:bCs/>
      </w:rPr>
    </w:pPr>
    <w:r>
      <w:rPr>
        <w:rFonts w:ascii="Lucida Bright" w:hAnsi="Lucida Bright"/>
        <w:b/>
        <w:bCs/>
      </w:rPr>
      <w:t xml:space="preserve">Fone: </w:t>
    </w:r>
    <w:r w:rsidRPr="00AB349D">
      <w:rPr>
        <w:rFonts w:ascii="Lucida Bright" w:hAnsi="Lucida Bright"/>
        <w:b/>
        <w:bCs/>
      </w:rPr>
      <w:t>0</w:t>
    </w:r>
    <w:r>
      <w:rPr>
        <w:rFonts w:ascii="Lucida Bright" w:hAnsi="Lucida Bright"/>
        <w:b/>
        <w:bCs/>
      </w:rPr>
      <w:t>66 3561-2800</w:t>
    </w:r>
  </w:p>
  <w:p w:rsidR="00756139" w:rsidRDefault="00756139" w:rsidP="00756139">
    <w:pPr>
      <w:pStyle w:val="Cabealho"/>
      <w:tabs>
        <w:tab w:val="left" w:pos="555"/>
        <w:tab w:val="left" w:pos="855"/>
        <w:tab w:val="left" w:pos="1125"/>
        <w:tab w:val="center" w:pos="4819"/>
      </w:tabs>
      <w:jc w:val="center"/>
      <w:rPr>
        <w:rFonts w:ascii="Lucida Bright" w:hAnsi="Lucida Bright"/>
        <w:b/>
        <w:bCs/>
      </w:rPr>
    </w:pPr>
    <w:r>
      <w:rPr>
        <w:rFonts w:ascii="Lucida Bright" w:hAnsi="Lucida Bright"/>
        <w:b/>
        <w:bCs/>
      </w:rPr>
      <w:t>www.itauba.mt.gov.br</w:t>
    </w:r>
  </w:p>
  <w:p w:rsidR="00756139" w:rsidRDefault="007561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ED9" w:rsidRDefault="001A2ED9" w:rsidP="00352A5D">
      <w:r>
        <w:separator/>
      </w:r>
    </w:p>
  </w:footnote>
  <w:footnote w:type="continuationSeparator" w:id="0">
    <w:p w:rsidR="001A2ED9" w:rsidRDefault="001A2ED9" w:rsidP="00352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39" w:rsidRDefault="0075613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56139" w:rsidRDefault="00756139">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39" w:rsidRDefault="00756139">
    <w:pPr>
      <w:pStyle w:val="Cabealho"/>
      <w:framePr w:wrap="around" w:vAnchor="text" w:hAnchor="margin" w:xAlign="right" w:y="1"/>
      <w:rPr>
        <w:rStyle w:val="Nmerodepgina"/>
      </w:rPr>
    </w:pPr>
  </w:p>
  <w:p w:rsidR="00756139" w:rsidRDefault="00756139" w:rsidP="00756139">
    <w:pPr>
      <w:pStyle w:val="Cabealho"/>
    </w:pPr>
    <w:r>
      <w:rPr>
        <w:noProof/>
      </w:rPr>
      <w:drawing>
        <wp:anchor distT="0" distB="0" distL="114300" distR="114300" simplePos="0" relativeHeight="251664384" behindDoc="1" locked="0" layoutInCell="1" allowOverlap="1" wp14:anchorId="67004935" wp14:editId="11056680">
          <wp:simplePos x="0" y="0"/>
          <wp:positionH relativeFrom="column">
            <wp:posOffset>1825470</wp:posOffset>
          </wp:positionH>
          <wp:positionV relativeFrom="paragraph">
            <wp:posOffset>-181610</wp:posOffset>
          </wp:positionV>
          <wp:extent cx="3762375" cy="1362939"/>
          <wp:effectExtent l="0" t="0" r="0" b="889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2375" cy="1362939"/>
                  </a:xfrm>
                  <a:prstGeom prst="rect">
                    <a:avLst/>
                  </a:prstGeom>
                </pic:spPr>
              </pic:pic>
            </a:graphicData>
          </a:graphic>
        </wp:anchor>
      </w:drawing>
    </w:r>
    <w:r>
      <w:rPr>
        <w:noProof/>
      </w:rPr>
      <w:drawing>
        <wp:anchor distT="0" distB="0" distL="114300" distR="114300" simplePos="0" relativeHeight="251660288" behindDoc="1" locked="0" layoutInCell="1" allowOverlap="1" wp14:anchorId="1739F3BA" wp14:editId="2547D507">
          <wp:simplePos x="0" y="0"/>
          <wp:positionH relativeFrom="column">
            <wp:posOffset>161925</wp:posOffset>
          </wp:positionH>
          <wp:positionV relativeFrom="paragraph">
            <wp:posOffset>-177800</wp:posOffset>
          </wp:positionV>
          <wp:extent cx="1351915" cy="1301750"/>
          <wp:effectExtent l="0" t="0" r="635" b="0"/>
          <wp:wrapNone/>
          <wp:docPr id="8" name="Imagem 8" descr="itauba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auba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915" cy="1301750"/>
                  </a:xfrm>
                  <a:prstGeom prst="rect">
                    <a:avLst/>
                  </a:prstGeom>
                  <a:noFill/>
                  <a:ln>
                    <a:noFill/>
                  </a:ln>
                </pic:spPr>
              </pic:pic>
            </a:graphicData>
          </a:graphic>
        </wp:anchor>
      </w:drawing>
    </w:r>
  </w:p>
  <w:p w:rsidR="00756139" w:rsidRDefault="00756139" w:rsidP="00756139">
    <w:pPr>
      <w:pStyle w:val="Cabealho"/>
    </w:pPr>
  </w:p>
  <w:p w:rsidR="00756139" w:rsidRDefault="00756139" w:rsidP="00756139">
    <w:pPr>
      <w:pStyle w:val="Cabealho"/>
    </w:pPr>
  </w:p>
  <w:p w:rsidR="00756139" w:rsidRDefault="00756139" w:rsidP="00756139">
    <w:pPr>
      <w:pStyle w:val="Cabealho"/>
    </w:pPr>
  </w:p>
  <w:p w:rsidR="00756139" w:rsidRDefault="00756139" w:rsidP="00756139">
    <w:pPr>
      <w:pStyle w:val="Cabealho"/>
    </w:pPr>
  </w:p>
  <w:p w:rsidR="00756139" w:rsidRDefault="00756139" w:rsidP="00756139">
    <w:pPr>
      <w:pStyle w:val="Cabealho"/>
    </w:pPr>
  </w:p>
  <w:p w:rsidR="00756139" w:rsidRDefault="00756139" w:rsidP="00756139">
    <w:pPr>
      <w:pStyle w:val="Cabealho"/>
    </w:pPr>
  </w:p>
  <w:p w:rsidR="00756139" w:rsidRDefault="00756139" w:rsidP="00756139">
    <w:pPr>
      <w:pStyle w:val="Cabealho"/>
    </w:pPr>
  </w:p>
  <w:p w:rsidR="00756139" w:rsidRDefault="00756139" w:rsidP="00756139">
    <w:pPr>
      <w:pStyle w:val="Cabealho"/>
    </w:pPr>
    <w:r>
      <w:rPr>
        <w:noProof/>
      </w:rPr>
      <mc:AlternateContent>
        <mc:Choice Requires="wps">
          <w:drawing>
            <wp:anchor distT="0" distB="0" distL="114300" distR="114300" simplePos="0" relativeHeight="251662336" behindDoc="0" locked="0" layoutInCell="0" allowOverlap="1" wp14:anchorId="4FC438B2" wp14:editId="35BFE59F">
              <wp:simplePos x="0" y="0"/>
              <wp:positionH relativeFrom="page">
                <wp:posOffset>-28575</wp:posOffset>
              </wp:positionH>
              <wp:positionV relativeFrom="page">
                <wp:posOffset>1724025</wp:posOffset>
              </wp:positionV>
              <wp:extent cx="7879715" cy="95250"/>
              <wp:effectExtent l="19050" t="19050" r="43180" b="5715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9715" cy="952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B43E108" id="Retângulo 4" o:spid="_x0000_s1026" style="position:absolute;margin-left:-2.25pt;margin-top:135.75pt;width:620.45pt;height:7.5pt;z-index:25166233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" o:allowincell="f" fillcolor="#9bbb59" strokecolor="#f2f2f2" strokeweight="3pt">
              <v:shadow on="t" color="#4e6128" opacity=".5" offset="1pt"/>
              <w10:wrap anchorx="page" anchory="page"/>
            </v:rect>
          </w:pict>
        </mc:Fallback>
      </mc:AlternateContent>
    </w:r>
  </w:p>
  <w:p w:rsidR="00756139" w:rsidRPr="00A93611" w:rsidRDefault="00756139" w:rsidP="00756139">
    <w:pPr>
      <w:pStyle w:val="Cabealho"/>
    </w:pPr>
    <w:r>
      <w:rPr>
        <w:noProof/>
      </w:rPr>
      <w:drawing>
        <wp:anchor distT="0" distB="0" distL="114300" distR="114300" simplePos="0" relativeHeight="251661312" behindDoc="1" locked="0" layoutInCell="1" allowOverlap="1" wp14:anchorId="1DD8E040" wp14:editId="241FC8C6">
          <wp:simplePos x="0" y="0"/>
          <wp:positionH relativeFrom="column">
            <wp:posOffset>969010</wp:posOffset>
          </wp:positionH>
          <wp:positionV relativeFrom="paragraph">
            <wp:posOffset>1914525</wp:posOffset>
          </wp:positionV>
          <wp:extent cx="4358640" cy="4196715"/>
          <wp:effectExtent l="0" t="0" r="3810" b="0"/>
          <wp:wrapNone/>
          <wp:docPr id="9" name="Imagem 9" descr="itauba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uba brasão"/>
                  <pic:cNvPicPr>
                    <a:picLocks noChangeAspect="1" noChangeArrowheads="1"/>
                  </pic:cNvPicPr>
                </pic:nvPicPr>
                <pic:blipFill>
                  <a:blip r:embed="rId2">
                    <a:lum bright="86000" contrast="-70000"/>
                    <a:extLst>
                      <a:ext uri="{28A0092B-C50C-407E-A947-70E740481C1C}">
                        <a14:useLocalDpi xmlns:a14="http://schemas.microsoft.com/office/drawing/2010/main" val="0"/>
                      </a:ext>
                    </a:extLst>
                  </a:blip>
                  <a:srcRect/>
                  <a:stretch>
                    <a:fillRect/>
                  </a:stretch>
                </pic:blipFill>
                <pic:spPr bwMode="auto">
                  <a:xfrm>
                    <a:off x="0" y="0"/>
                    <a:ext cx="4358640" cy="419671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39" w:rsidRDefault="00756139">
    <w:pPr>
      <w:pStyle w:val="Cabealho"/>
    </w:pPr>
    <w:r>
      <w:rPr>
        <w:i/>
        <w:iCs/>
        <w:noProof/>
      </w:rPr>
      <w:drawing>
        <wp:anchor distT="0" distB="0" distL="114300" distR="114300" simplePos="0" relativeHeight="251659264" behindDoc="1" locked="0" layoutInCell="1" allowOverlap="1" wp14:anchorId="620482B1" wp14:editId="6216A142">
          <wp:simplePos x="0" y="0"/>
          <wp:positionH relativeFrom="column">
            <wp:posOffset>1029970</wp:posOffset>
          </wp:positionH>
          <wp:positionV relativeFrom="paragraph">
            <wp:posOffset>2437765</wp:posOffset>
          </wp:positionV>
          <wp:extent cx="4098925" cy="3945890"/>
          <wp:effectExtent l="0" t="0" r="0" b="0"/>
          <wp:wrapNone/>
          <wp:docPr id="10" name="Imagem 10" descr="itauba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uba brasão"/>
                  <pic:cNvPicPr>
                    <a:picLocks noChangeAspect="1" noChangeArrowheads="1"/>
                  </pic:cNvPicPr>
                </pic:nvPicPr>
                <pic:blipFill>
                  <a:blip r:embed="rId1">
                    <a:lum bright="92000" contrast="-70000"/>
                    <a:extLst>
                      <a:ext uri="{28A0092B-C50C-407E-A947-70E740481C1C}">
                        <a14:useLocalDpi xmlns:a14="http://schemas.microsoft.com/office/drawing/2010/main" val="0"/>
                      </a:ext>
                    </a:extLst>
                  </a:blip>
                  <a:srcRect/>
                  <a:stretch>
                    <a:fillRect/>
                  </a:stretch>
                </pic:blipFill>
                <pic:spPr bwMode="auto">
                  <a:xfrm>
                    <a:off x="0" y="0"/>
                    <a:ext cx="4098925" cy="3945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A0FD1"/>
    <w:multiLevelType w:val="hybridMultilevel"/>
    <w:tmpl w:val="AE0C92C0"/>
    <w:lvl w:ilvl="0" w:tplc="E84E9C5A">
      <w:start w:val="1"/>
      <w:numFmt w:val="bullet"/>
      <w:lvlText w:val=""/>
      <w:lvlJc w:val="left"/>
      <w:pPr>
        <w:ind w:left="3762" w:hanging="360"/>
      </w:pPr>
      <w:rPr>
        <w:rFonts w:ascii="Symbol" w:eastAsia="Calibri" w:hAnsi="Symbol" w:cs="Arial" w:hint="default"/>
      </w:rPr>
    </w:lvl>
    <w:lvl w:ilvl="1" w:tplc="04160003" w:tentative="1">
      <w:start w:val="1"/>
      <w:numFmt w:val="bullet"/>
      <w:lvlText w:val="o"/>
      <w:lvlJc w:val="left"/>
      <w:pPr>
        <w:ind w:left="4482" w:hanging="360"/>
      </w:pPr>
      <w:rPr>
        <w:rFonts w:ascii="Courier New" w:hAnsi="Courier New" w:cs="Courier New" w:hint="default"/>
      </w:rPr>
    </w:lvl>
    <w:lvl w:ilvl="2" w:tplc="04160005" w:tentative="1">
      <w:start w:val="1"/>
      <w:numFmt w:val="bullet"/>
      <w:lvlText w:val=""/>
      <w:lvlJc w:val="left"/>
      <w:pPr>
        <w:ind w:left="5202" w:hanging="360"/>
      </w:pPr>
      <w:rPr>
        <w:rFonts w:ascii="Wingdings" w:hAnsi="Wingdings" w:hint="default"/>
      </w:rPr>
    </w:lvl>
    <w:lvl w:ilvl="3" w:tplc="04160001" w:tentative="1">
      <w:start w:val="1"/>
      <w:numFmt w:val="bullet"/>
      <w:lvlText w:val=""/>
      <w:lvlJc w:val="left"/>
      <w:pPr>
        <w:ind w:left="5922" w:hanging="360"/>
      </w:pPr>
      <w:rPr>
        <w:rFonts w:ascii="Symbol" w:hAnsi="Symbol" w:hint="default"/>
      </w:rPr>
    </w:lvl>
    <w:lvl w:ilvl="4" w:tplc="04160003" w:tentative="1">
      <w:start w:val="1"/>
      <w:numFmt w:val="bullet"/>
      <w:lvlText w:val="o"/>
      <w:lvlJc w:val="left"/>
      <w:pPr>
        <w:ind w:left="6642" w:hanging="360"/>
      </w:pPr>
      <w:rPr>
        <w:rFonts w:ascii="Courier New" w:hAnsi="Courier New" w:cs="Courier New" w:hint="default"/>
      </w:rPr>
    </w:lvl>
    <w:lvl w:ilvl="5" w:tplc="04160005" w:tentative="1">
      <w:start w:val="1"/>
      <w:numFmt w:val="bullet"/>
      <w:lvlText w:val=""/>
      <w:lvlJc w:val="left"/>
      <w:pPr>
        <w:ind w:left="7362" w:hanging="360"/>
      </w:pPr>
      <w:rPr>
        <w:rFonts w:ascii="Wingdings" w:hAnsi="Wingdings" w:hint="default"/>
      </w:rPr>
    </w:lvl>
    <w:lvl w:ilvl="6" w:tplc="04160001" w:tentative="1">
      <w:start w:val="1"/>
      <w:numFmt w:val="bullet"/>
      <w:lvlText w:val=""/>
      <w:lvlJc w:val="left"/>
      <w:pPr>
        <w:ind w:left="8082" w:hanging="360"/>
      </w:pPr>
      <w:rPr>
        <w:rFonts w:ascii="Symbol" w:hAnsi="Symbol" w:hint="default"/>
      </w:rPr>
    </w:lvl>
    <w:lvl w:ilvl="7" w:tplc="04160003" w:tentative="1">
      <w:start w:val="1"/>
      <w:numFmt w:val="bullet"/>
      <w:lvlText w:val="o"/>
      <w:lvlJc w:val="left"/>
      <w:pPr>
        <w:ind w:left="8802" w:hanging="360"/>
      </w:pPr>
      <w:rPr>
        <w:rFonts w:ascii="Courier New" w:hAnsi="Courier New" w:cs="Courier New" w:hint="default"/>
      </w:rPr>
    </w:lvl>
    <w:lvl w:ilvl="8" w:tplc="04160005" w:tentative="1">
      <w:start w:val="1"/>
      <w:numFmt w:val="bullet"/>
      <w:lvlText w:val=""/>
      <w:lvlJc w:val="left"/>
      <w:pPr>
        <w:ind w:left="9522" w:hanging="360"/>
      </w:pPr>
      <w:rPr>
        <w:rFonts w:ascii="Wingdings" w:hAnsi="Wingdings" w:hint="default"/>
      </w:rPr>
    </w:lvl>
  </w:abstractNum>
  <w:abstractNum w:abstractNumId="1" w15:restartNumberingAfterBreak="0">
    <w:nsid w:val="5ADE4FE5"/>
    <w:multiLevelType w:val="hybridMultilevel"/>
    <w:tmpl w:val="A5C068EC"/>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 w15:restartNumberingAfterBreak="0">
    <w:nsid w:val="673C2ADD"/>
    <w:multiLevelType w:val="hybridMultilevel"/>
    <w:tmpl w:val="CB38B846"/>
    <w:lvl w:ilvl="0" w:tplc="CE04EF2A">
      <w:start w:val="1"/>
      <w:numFmt w:val="decimal"/>
      <w:lvlText w:val="%1."/>
      <w:lvlJc w:val="left"/>
      <w:pPr>
        <w:ind w:left="2688" w:hanging="420"/>
      </w:pPr>
      <w:rPr>
        <w:rFonts w:eastAsia="Times New Roman"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5D"/>
    <w:rsid w:val="000225BB"/>
    <w:rsid w:val="00025791"/>
    <w:rsid w:val="00067B58"/>
    <w:rsid w:val="000914B8"/>
    <w:rsid w:val="0009601D"/>
    <w:rsid w:val="000A1B87"/>
    <w:rsid w:val="000A5888"/>
    <w:rsid w:val="000D5359"/>
    <w:rsid w:val="000E0A67"/>
    <w:rsid w:val="000E28F2"/>
    <w:rsid w:val="000F3229"/>
    <w:rsid w:val="000F5EBC"/>
    <w:rsid w:val="00112C06"/>
    <w:rsid w:val="001412DE"/>
    <w:rsid w:val="001A00B4"/>
    <w:rsid w:val="001A2ED9"/>
    <w:rsid w:val="001B2EE0"/>
    <w:rsid w:val="001C2DCC"/>
    <w:rsid w:val="00225FC9"/>
    <w:rsid w:val="00272C27"/>
    <w:rsid w:val="002773AC"/>
    <w:rsid w:val="002970C5"/>
    <w:rsid w:val="002D28AA"/>
    <w:rsid w:val="002D2BC8"/>
    <w:rsid w:val="0030368B"/>
    <w:rsid w:val="0030678C"/>
    <w:rsid w:val="00351C28"/>
    <w:rsid w:val="003529C4"/>
    <w:rsid w:val="00352A5D"/>
    <w:rsid w:val="00357681"/>
    <w:rsid w:val="0036688E"/>
    <w:rsid w:val="00375B49"/>
    <w:rsid w:val="003A223D"/>
    <w:rsid w:val="003B3484"/>
    <w:rsid w:val="003C137D"/>
    <w:rsid w:val="003C24CA"/>
    <w:rsid w:val="003C6F27"/>
    <w:rsid w:val="003D0A6B"/>
    <w:rsid w:val="003F6C8B"/>
    <w:rsid w:val="00404B1B"/>
    <w:rsid w:val="00405B35"/>
    <w:rsid w:val="00447505"/>
    <w:rsid w:val="004602B6"/>
    <w:rsid w:val="00471733"/>
    <w:rsid w:val="00482B4B"/>
    <w:rsid w:val="004B0802"/>
    <w:rsid w:val="004F338E"/>
    <w:rsid w:val="004F53C8"/>
    <w:rsid w:val="004F62DC"/>
    <w:rsid w:val="00502E7E"/>
    <w:rsid w:val="005043B1"/>
    <w:rsid w:val="00514278"/>
    <w:rsid w:val="00541F27"/>
    <w:rsid w:val="005A3ECF"/>
    <w:rsid w:val="005B59D3"/>
    <w:rsid w:val="005D3630"/>
    <w:rsid w:val="00613349"/>
    <w:rsid w:val="006159B9"/>
    <w:rsid w:val="006606AB"/>
    <w:rsid w:val="00663284"/>
    <w:rsid w:val="0066399F"/>
    <w:rsid w:val="00663B3B"/>
    <w:rsid w:val="00666C75"/>
    <w:rsid w:val="00690F3A"/>
    <w:rsid w:val="006A1B0C"/>
    <w:rsid w:val="00710460"/>
    <w:rsid w:val="007120A3"/>
    <w:rsid w:val="00756139"/>
    <w:rsid w:val="00773763"/>
    <w:rsid w:val="00775781"/>
    <w:rsid w:val="00776BD8"/>
    <w:rsid w:val="00785F3B"/>
    <w:rsid w:val="007C68D1"/>
    <w:rsid w:val="007C77B3"/>
    <w:rsid w:val="007D1E5A"/>
    <w:rsid w:val="007D394A"/>
    <w:rsid w:val="0080353B"/>
    <w:rsid w:val="00805C08"/>
    <w:rsid w:val="00826C02"/>
    <w:rsid w:val="00840AAC"/>
    <w:rsid w:val="00886C02"/>
    <w:rsid w:val="00890E50"/>
    <w:rsid w:val="008F4435"/>
    <w:rsid w:val="00907178"/>
    <w:rsid w:val="0093408D"/>
    <w:rsid w:val="00975AD0"/>
    <w:rsid w:val="0098450E"/>
    <w:rsid w:val="009A4CCB"/>
    <w:rsid w:val="009B5104"/>
    <w:rsid w:val="009C4168"/>
    <w:rsid w:val="009C65A5"/>
    <w:rsid w:val="009E040A"/>
    <w:rsid w:val="00A3364B"/>
    <w:rsid w:val="00A477B4"/>
    <w:rsid w:val="00A5653A"/>
    <w:rsid w:val="00A64123"/>
    <w:rsid w:val="00A648FF"/>
    <w:rsid w:val="00A84595"/>
    <w:rsid w:val="00AA6EE7"/>
    <w:rsid w:val="00AD1067"/>
    <w:rsid w:val="00AD13B3"/>
    <w:rsid w:val="00AE1C80"/>
    <w:rsid w:val="00B01C38"/>
    <w:rsid w:val="00B1726F"/>
    <w:rsid w:val="00B26CC9"/>
    <w:rsid w:val="00B61BA3"/>
    <w:rsid w:val="00B70EFB"/>
    <w:rsid w:val="00B74CCA"/>
    <w:rsid w:val="00B8272A"/>
    <w:rsid w:val="00B94509"/>
    <w:rsid w:val="00BB0F78"/>
    <w:rsid w:val="00BE5FA5"/>
    <w:rsid w:val="00C46111"/>
    <w:rsid w:val="00C83956"/>
    <w:rsid w:val="00C878C0"/>
    <w:rsid w:val="00C943BF"/>
    <w:rsid w:val="00CA2D54"/>
    <w:rsid w:val="00CA3D74"/>
    <w:rsid w:val="00CD1A02"/>
    <w:rsid w:val="00CE0078"/>
    <w:rsid w:val="00CE7B4D"/>
    <w:rsid w:val="00CF7C7B"/>
    <w:rsid w:val="00D4710B"/>
    <w:rsid w:val="00D546BA"/>
    <w:rsid w:val="00D63B3A"/>
    <w:rsid w:val="00D97211"/>
    <w:rsid w:val="00DA0F1E"/>
    <w:rsid w:val="00DB1B53"/>
    <w:rsid w:val="00DB69DC"/>
    <w:rsid w:val="00DD53D3"/>
    <w:rsid w:val="00DD66F6"/>
    <w:rsid w:val="00DF48BB"/>
    <w:rsid w:val="00E24D10"/>
    <w:rsid w:val="00E300CA"/>
    <w:rsid w:val="00E517BB"/>
    <w:rsid w:val="00E8364C"/>
    <w:rsid w:val="00E83767"/>
    <w:rsid w:val="00E857E0"/>
    <w:rsid w:val="00E87A2B"/>
    <w:rsid w:val="00EB0BD8"/>
    <w:rsid w:val="00EB7E6B"/>
    <w:rsid w:val="00EC4FCD"/>
    <w:rsid w:val="00EF4AA0"/>
    <w:rsid w:val="00F073D4"/>
    <w:rsid w:val="00F1782C"/>
    <w:rsid w:val="00F3310A"/>
    <w:rsid w:val="00F61BB8"/>
    <w:rsid w:val="00F67FBC"/>
    <w:rsid w:val="00F821C3"/>
    <w:rsid w:val="00F966CE"/>
    <w:rsid w:val="00FA040A"/>
    <w:rsid w:val="00FA1132"/>
    <w:rsid w:val="00FB2657"/>
    <w:rsid w:val="00FD307D"/>
    <w:rsid w:val="00FE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084E1-A0E9-4ADA-8AFE-E6E43759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5D"/>
    <w:pPr>
      <w:spacing w:after="0" w:line="240" w:lineRule="auto"/>
    </w:pPr>
    <w:rPr>
      <w:rFonts w:ascii="Times New Roman" w:eastAsia="Times New Roman" w:hAnsi="Times New Roman"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352A5D"/>
  </w:style>
  <w:style w:type="paragraph" w:styleId="Cabealho">
    <w:name w:val="header"/>
    <w:basedOn w:val="Normal"/>
    <w:link w:val="CabealhoChar"/>
    <w:uiPriority w:val="99"/>
    <w:rsid w:val="00352A5D"/>
    <w:pPr>
      <w:widowControl w:val="0"/>
      <w:tabs>
        <w:tab w:val="center" w:pos="4419"/>
        <w:tab w:val="right" w:pos="8838"/>
      </w:tabs>
    </w:pPr>
    <w:rPr>
      <w:rFonts w:eastAsia="MS Mincho"/>
    </w:rPr>
  </w:style>
  <w:style w:type="character" w:customStyle="1" w:styleId="CabealhoChar">
    <w:name w:val="Cabeçalho Char"/>
    <w:basedOn w:val="Fontepargpadro"/>
    <w:link w:val="Cabealho"/>
    <w:uiPriority w:val="99"/>
    <w:rsid w:val="00352A5D"/>
    <w:rPr>
      <w:rFonts w:ascii="Times New Roman" w:eastAsia="MS Mincho" w:hAnsi="Times New Roman" w:cs="Times New Roman"/>
      <w:sz w:val="20"/>
      <w:szCs w:val="20"/>
      <w:lang w:val="pt-BR" w:eastAsia="pt-BR"/>
    </w:rPr>
  </w:style>
  <w:style w:type="paragraph" w:styleId="Rodap">
    <w:name w:val="footer"/>
    <w:basedOn w:val="Normal"/>
    <w:link w:val="RodapChar"/>
    <w:uiPriority w:val="99"/>
    <w:rsid w:val="00352A5D"/>
    <w:pPr>
      <w:tabs>
        <w:tab w:val="center" w:pos="4419"/>
        <w:tab w:val="right" w:pos="8838"/>
      </w:tabs>
    </w:pPr>
    <w:rPr>
      <w:rFonts w:eastAsia="MS Mincho"/>
    </w:rPr>
  </w:style>
  <w:style w:type="character" w:customStyle="1" w:styleId="RodapChar">
    <w:name w:val="Rodapé Char"/>
    <w:basedOn w:val="Fontepargpadro"/>
    <w:link w:val="Rodap"/>
    <w:uiPriority w:val="99"/>
    <w:rsid w:val="00352A5D"/>
    <w:rPr>
      <w:rFonts w:ascii="Times New Roman" w:eastAsia="MS Mincho" w:hAnsi="Times New Roman" w:cs="Times New Roman"/>
      <w:sz w:val="20"/>
      <w:szCs w:val="20"/>
      <w:lang w:val="pt-BR" w:eastAsia="pt-BR"/>
    </w:rPr>
  </w:style>
  <w:style w:type="paragraph" w:customStyle="1" w:styleId="Default">
    <w:name w:val="Default"/>
    <w:rsid w:val="00352A5D"/>
    <w:pPr>
      <w:autoSpaceDE w:val="0"/>
      <w:autoSpaceDN w:val="0"/>
      <w:adjustRightInd w:val="0"/>
      <w:spacing w:after="0" w:line="240" w:lineRule="auto"/>
    </w:pPr>
    <w:rPr>
      <w:rFonts w:ascii="Arial" w:eastAsia="Calibri" w:hAnsi="Arial" w:cs="Arial"/>
      <w:color w:val="000000"/>
      <w:sz w:val="24"/>
      <w:szCs w:val="24"/>
      <w:lang w:val="pt-BR" w:eastAsia="pt-BR"/>
    </w:rPr>
  </w:style>
  <w:style w:type="paragraph" w:styleId="NormalWeb">
    <w:name w:val="Normal (Web)"/>
    <w:basedOn w:val="Normal"/>
    <w:uiPriority w:val="99"/>
    <w:unhideWhenUsed/>
    <w:rsid w:val="00352A5D"/>
    <w:pPr>
      <w:spacing w:before="100" w:beforeAutospacing="1" w:after="100" w:afterAutospacing="1"/>
    </w:pPr>
    <w:rPr>
      <w:sz w:val="24"/>
      <w:szCs w:val="24"/>
      <w:lang w:val="en-US" w:eastAsia="en-US"/>
    </w:rPr>
  </w:style>
  <w:style w:type="character" w:styleId="Hyperlink">
    <w:name w:val="Hyperlink"/>
    <w:basedOn w:val="Fontepargpadro"/>
    <w:uiPriority w:val="99"/>
    <w:semiHidden/>
    <w:unhideWhenUsed/>
    <w:rsid w:val="00352A5D"/>
    <w:rPr>
      <w:color w:val="0000FF"/>
      <w:u w:val="single"/>
    </w:rPr>
  </w:style>
  <w:style w:type="paragraph" w:styleId="Textodenotaderodap">
    <w:name w:val="footnote text"/>
    <w:basedOn w:val="Normal"/>
    <w:link w:val="TextodenotaderodapChar"/>
    <w:uiPriority w:val="99"/>
    <w:semiHidden/>
    <w:unhideWhenUsed/>
    <w:rsid w:val="00352A5D"/>
  </w:style>
  <w:style w:type="character" w:customStyle="1" w:styleId="TextodenotaderodapChar">
    <w:name w:val="Texto de nota de rodapé Char"/>
    <w:basedOn w:val="Fontepargpadro"/>
    <w:link w:val="Textodenotaderodap"/>
    <w:uiPriority w:val="99"/>
    <w:semiHidden/>
    <w:rsid w:val="00352A5D"/>
    <w:rPr>
      <w:rFonts w:ascii="Times New Roman" w:eastAsia="Times New Roman" w:hAnsi="Times New Roman" w:cs="Times New Roman"/>
      <w:sz w:val="20"/>
      <w:szCs w:val="20"/>
      <w:lang w:val="pt-BR" w:eastAsia="pt-BR"/>
    </w:rPr>
  </w:style>
  <w:style w:type="character" w:styleId="Refdenotaderodap">
    <w:name w:val="footnote reference"/>
    <w:basedOn w:val="Fontepargpadro"/>
    <w:uiPriority w:val="99"/>
    <w:semiHidden/>
    <w:unhideWhenUsed/>
    <w:rsid w:val="00352A5D"/>
    <w:rPr>
      <w:vertAlign w:val="superscript"/>
    </w:rPr>
  </w:style>
  <w:style w:type="character" w:styleId="nfase">
    <w:name w:val="Emphasis"/>
    <w:basedOn w:val="Fontepargpadro"/>
    <w:uiPriority w:val="20"/>
    <w:qFormat/>
    <w:rsid w:val="00776BD8"/>
    <w:rPr>
      <w:i/>
      <w:iCs/>
    </w:rPr>
  </w:style>
  <w:style w:type="character" w:styleId="Forte">
    <w:name w:val="Strong"/>
    <w:basedOn w:val="Fontepargpadro"/>
    <w:uiPriority w:val="22"/>
    <w:qFormat/>
    <w:rsid w:val="00776BD8"/>
    <w:rPr>
      <w:b/>
      <w:bCs/>
    </w:rPr>
  </w:style>
  <w:style w:type="paragraph" w:styleId="Textodebalo">
    <w:name w:val="Balloon Text"/>
    <w:basedOn w:val="Normal"/>
    <w:link w:val="TextodebaloChar"/>
    <w:uiPriority w:val="99"/>
    <w:semiHidden/>
    <w:unhideWhenUsed/>
    <w:rsid w:val="00E24D10"/>
    <w:rPr>
      <w:rFonts w:ascii="Segoe UI" w:hAnsi="Segoe UI" w:cs="Segoe UI"/>
      <w:sz w:val="18"/>
      <w:szCs w:val="18"/>
    </w:rPr>
  </w:style>
  <w:style w:type="character" w:customStyle="1" w:styleId="TextodebaloChar">
    <w:name w:val="Texto de balão Char"/>
    <w:basedOn w:val="Fontepargpadro"/>
    <w:link w:val="Textodebalo"/>
    <w:uiPriority w:val="99"/>
    <w:semiHidden/>
    <w:rsid w:val="00E24D10"/>
    <w:rPr>
      <w:rFonts w:ascii="Segoe UI" w:eastAsia="Times New Roman" w:hAnsi="Segoe UI" w:cs="Segoe UI"/>
      <w:sz w:val="18"/>
      <w:szCs w:val="18"/>
      <w:lang w:val="pt-BR" w:eastAsia="pt-BR"/>
    </w:rPr>
  </w:style>
  <w:style w:type="character" w:customStyle="1" w:styleId="apple-converted-space">
    <w:name w:val="apple-converted-space"/>
    <w:basedOn w:val="Fontepargpadro"/>
    <w:rsid w:val="00AD13B3"/>
  </w:style>
  <w:style w:type="paragraph" w:styleId="PargrafodaLista">
    <w:name w:val="List Paragraph"/>
    <w:basedOn w:val="Normal"/>
    <w:qFormat/>
    <w:rsid w:val="00886C02"/>
    <w:pPr>
      <w:ind w:left="720"/>
      <w:contextualSpacing/>
    </w:pPr>
  </w:style>
  <w:style w:type="table" w:styleId="Tabelacomgrade">
    <w:name w:val="Table Grid"/>
    <w:basedOn w:val="Tabelanormal"/>
    <w:uiPriority w:val="39"/>
    <w:rsid w:val="000A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14B8"/>
    <w:pPr>
      <w:spacing w:after="0" w:line="240" w:lineRule="auto"/>
    </w:pPr>
    <w:rPr>
      <w:lang w:val="pt-BR"/>
    </w:rPr>
  </w:style>
  <w:style w:type="paragraph" w:styleId="Corpodetexto">
    <w:name w:val="Body Text"/>
    <w:basedOn w:val="Normal"/>
    <w:link w:val="CorpodetextoChar"/>
    <w:uiPriority w:val="99"/>
    <w:unhideWhenUsed/>
    <w:rsid w:val="00B8272A"/>
    <w:pPr>
      <w:spacing w:after="120"/>
    </w:pPr>
  </w:style>
  <w:style w:type="character" w:customStyle="1" w:styleId="CorpodetextoChar">
    <w:name w:val="Corpo de texto Char"/>
    <w:basedOn w:val="Fontepargpadro"/>
    <w:link w:val="Corpodetexto"/>
    <w:uiPriority w:val="99"/>
    <w:rsid w:val="00B8272A"/>
    <w:rPr>
      <w:rFonts w:ascii="Times New Roman" w:eastAsia="Times New Roman" w:hAnsi="Times New Roman" w:cs="Times New Roman"/>
      <w:sz w:val="20"/>
      <w:szCs w:val="20"/>
      <w:lang w:val="pt-BR" w:eastAsia="pt-BR"/>
    </w:rPr>
  </w:style>
  <w:style w:type="character" w:customStyle="1" w:styleId="LinkdaInternet">
    <w:name w:val="Link da Internet"/>
    <w:rsid w:val="00CD1A02"/>
    <w:rPr>
      <w:color w:val="000080"/>
      <w:u w:val="single"/>
    </w:rPr>
  </w:style>
  <w:style w:type="paragraph" w:customStyle="1" w:styleId="Contedodoquadro">
    <w:name w:val="Conteúdo do quadro"/>
    <w:basedOn w:val="Normal"/>
    <w:qFormat/>
    <w:rsid w:val="00CD1A02"/>
    <w:pPr>
      <w:widowControl w:val="0"/>
      <w:suppressAutoHyphens/>
    </w:pPr>
    <w:rPr>
      <w:rFonts w:eastAsia="SimSun" w:cs="Mangal"/>
      <w:kern w:val="2"/>
      <w:sz w:val="24"/>
      <w:szCs w:val="24"/>
      <w:lang w:eastAsia="zh-CN" w:bidi="hi-IN"/>
    </w:rPr>
  </w:style>
  <w:style w:type="character" w:customStyle="1" w:styleId="nfaseforte">
    <w:name w:val="Ênfase forte"/>
    <w:qFormat/>
    <w:rsid w:val="00CD1A02"/>
    <w:rPr>
      <w:b/>
      <w:bCs/>
    </w:rPr>
  </w:style>
  <w:style w:type="paragraph" w:customStyle="1" w:styleId="Textbody">
    <w:name w:val="Text body"/>
    <w:basedOn w:val="Normal"/>
    <w:qFormat/>
    <w:rsid w:val="000E28F2"/>
    <w:pPr>
      <w:widowControl w:val="0"/>
      <w:suppressAutoHyphens/>
      <w:spacing w:after="120"/>
      <w:textAlignment w:val="baseline"/>
    </w:pPr>
    <w:rPr>
      <w:rFonts w:eastAsia="Arial Unicode MS"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5831">
      <w:bodyDiv w:val="1"/>
      <w:marLeft w:val="0"/>
      <w:marRight w:val="0"/>
      <w:marTop w:val="0"/>
      <w:marBottom w:val="0"/>
      <w:divBdr>
        <w:top w:val="none" w:sz="0" w:space="0" w:color="auto"/>
        <w:left w:val="none" w:sz="0" w:space="0" w:color="auto"/>
        <w:bottom w:val="none" w:sz="0" w:space="0" w:color="auto"/>
        <w:right w:val="none" w:sz="0" w:space="0" w:color="auto"/>
      </w:divBdr>
    </w:div>
    <w:div w:id="1166241194">
      <w:bodyDiv w:val="1"/>
      <w:marLeft w:val="0"/>
      <w:marRight w:val="0"/>
      <w:marTop w:val="0"/>
      <w:marBottom w:val="0"/>
      <w:divBdr>
        <w:top w:val="none" w:sz="0" w:space="0" w:color="auto"/>
        <w:left w:val="none" w:sz="0" w:space="0" w:color="auto"/>
        <w:bottom w:val="none" w:sz="0" w:space="0" w:color="auto"/>
        <w:right w:val="none" w:sz="0" w:space="0" w:color="auto"/>
      </w:divBdr>
    </w:div>
    <w:div w:id="1168399828">
      <w:bodyDiv w:val="1"/>
      <w:marLeft w:val="0"/>
      <w:marRight w:val="0"/>
      <w:marTop w:val="0"/>
      <w:marBottom w:val="0"/>
      <w:divBdr>
        <w:top w:val="none" w:sz="0" w:space="0" w:color="auto"/>
        <w:left w:val="none" w:sz="0" w:space="0" w:color="auto"/>
        <w:bottom w:val="none" w:sz="0" w:space="0" w:color="auto"/>
        <w:right w:val="none" w:sz="0" w:space="0" w:color="auto"/>
      </w:divBdr>
    </w:div>
    <w:div w:id="1604343487">
      <w:bodyDiv w:val="1"/>
      <w:marLeft w:val="0"/>
      <w:marRight w:val="0"/>
      <w:marTop w:val="0"/>
      <w:marBottom w:val="0"/>
      <w:divBdr>
        <w:top w:val="none" w:sz="0" w:space="0" w:color="auto"/>
        <w:left w:val="none" w:sz="0" w:space="0" w:color="auto"/>
        <w:bottom w:val="none" w:sz="0" w:space="0" w:color="auto"/>
        <w:right w:val="none" w:sz="0" w:space="0" w:color="auto"/>
      </w:divBdr>
      <w:divsChild>
        <w:div w:id="2050834689">
          <w:marLeft w:val="0"/>
          <w:marRight w:val="0"/>
          <w:marTop w:val="0"/>
          <w:marBottom w:val="0"/>
          <w:divBdr>
            <w:top w:val="none" w:sz="0" w:space="0" w:color="auto"/>
            <w:left w:val="none" w:sz="0" w:space="0" w:color="auto"/>
            <w:bottom w:val="none" w:sz="0" w:space="0" w:color="auto"/>
            <w:right w:val="none" w:sz="0" w:space="0" w:color="auto"/>
          </w:divBdr>
        </w:div>
      </w:divsChild>
    </w:div>
    <w:div w:id="20828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E7E6-0B14-44A6-B24E-6F09D1CD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5072</Words>
  <Characters>27390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dc:creator>
  <cp:lastModifiedBy>Fernando</cp:lastModifiedBy>
  <cp:revision>3</cp:revision>
  <cp:lastPrinted>2021-12-21T17:21:00Z</cp:lastPrinted>
  <dcterms:created xsi:type="dcterms:W3CDTF">2022-11-10T18:39:00Z</dcterms:created>
  <dcterms:modified xsi:type="dcterms:W3CDTF">2022-11-10T18:48:00Z</dcterms:modified>
</cp:coreProperties>
</file>